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2856" w14:textId="77777777" w:rsidR="0084270E" w:rsidRDefault="0084270E" w:rsidP="00D24FD8">
      <w:pPr>
        <w:pStyle w:val="Title"/>
        <w:jc w:val="center"/>
        <w:rPr>
          <w:i w:val="0"/>
          <w:sz w:val="28"/>
          <w:szCs w:val="28"/>
        </w:rPr>
      </w:pPr>
      <w:commentRangeStart w:id="0"/>
      <w:commentRangeStart w:id="1"/>
      <w:r>
        <w:rPr>
          <w:i w:val="0"/>
          <w:sz w:val="28"/>
          <w:szCs w:val="28"/>
        </w:rPr>
        <w:t xml:space="preserve">Analisis Penggunaan Antibiotik Pada Sepsis Neonatus </w:t>
      </w:r>
    </w:p>
    <w:p w14:paraId="6E452D40" w14:textId="77777777" w:rsidR="00D24FD8" w:rsidRPr="0065515B" w:rsidRDefault="0084270E" w:rsidP="00D24FD8">
      <w:pPr>
        <w:pStyle w:val="Title"/>
        <w:jc w:val="center"/>
        <w:rPr>
          <w:i w:val="0"/>
          <w:sz w:val="28"/>
          <w:szCs w:val="28"/>
        </w:rPr>
      </w:pPr>
      <w:r>
        <w:rPr>
          <w:i w:val="0"/>
          <w:sz w:val="28"/>
          <w:szCs w:val="28"/>
        </w:rPr>
        <w:t>di RSUD Haji Provinsi Jawa Timur</w:t>
      </w:r>
      <w:commentRangeEnd w:id="1"/>
      <w:r w:rsidR="002B7019" w:rsidRPr="0065515B">
        <w:rPr>
          <w:rStyle w:val="CommentReference"/>
          <w:i w:val="0"/>
          <w:sz w:val="28"/>
          <w:szCs w:val="28"/>
        </w:rPr>
        <w:commentReference w:id="1"/>
      </w:r>
      <w:commentRangeEnd w:id="0"/>
      <w:r w:rsidR="00CE4BFA" w:rsidRPr="0065515B">
        <w:rPr>
          <w:rStyle w:val="CommentReference"/>
          <w:i w:val="0"/>
          <w:sz w:val="28"/>
          <w:szCs w:val="28"/>
        </w:rPr>
        <w:commentReference w:id="0"/>
      </w:r>
    </w:p>
    <w:p w14:paraId="6EE5F16D" w14:textId="77777777" w:rsidR="00D24FD8" w:rsidRPr="0065515B" w:rsidRDefault="00D24FD8" w:rsidP="00D24FD8">
      <w:pPr>
        <w:pStyle w:val="Title"/>
        <w:jc w:val="center"/>
        <w:rPr>
          <w:i w:val="0"/>
          <w:color w:val="FF0000"/>
          <w:sz w:val="28"/>
          <w:szCs w:val="28"/>
        </w:rPr>
      </w:pPr>
    </w:p>
    <w:p w14:paraId="066BC223" w14:textId="77777777" w:rsidR="00D24FD8" w:rsidRPr="0065515B" w:rsidRDefault="0084270E" w:rsidP="00D24FD8">
      <w:pPr>
        <w:pStyle w:val="Authors"/>
      </w:pPr>
      <w:r>
        <w:rPr>
          <w:i/>
        </w:rPr>
        <w:t>Nurul Damayanti</w:t>
      </w:r>
      <w:r w:rsidR="00D24FD8" w:rsidRPr="00461862">
        <w:rPr>
          <w:i/>
          <w:vertAlign w:val="superscript"/>
        </w:rPr>
        <w:t>1 *</w:t>
      </w:r>
      <w:r w:rsidR="00D24FD8" w:rsidRPr="00461862">
        <w:rPr>
          <w:i/>
        </w:rPr>
        <w:t xml:space="preserve">, </w:t>
      </w:r>
      <w:r>
        <w:rPr>
          <w:i/>
        </w:rPr>
        <w:t>Sefty Khoif Tsani</w:t>
      </w:r>
      <w:r>
        <w:rPr>
          <w:i/>
          <w:vertAlign w:val="superscript"/>
        </w:rPr>
        <w:t>2</w:t>
      </w:r>
      <w:r w:rsidR="00D24FD8" w:rsidRPr="00461862">
        <w:rPr>
          <w:i/>
        </w:rPr>
        <w:t xml:space="preserve">, </w:t>
      </w:r>
      <w:r>
        <w:rPr>
          <w:i/>
        </w:rPr>
        <w:t>Auli</w:t>
      </w:r>
      <w:r w:rsidR="00D24FD8" w:rsidRPr="00461862">
        <w:rPr>
          <w:i/>
        </w:rPr>
        <w:t>a</w:t>
      </w:r>
      <w:r>
        <w:rPr>
          <w:i/>
        </w:rPr>
        <w:t xml:space="preserve"> Putri Muazzarah</w:t>
      </w:r>
      <w:r>
        <w:rPr>
          <w:i/>
          <w:vertAlign w:val="superscript"/>
        </w:rPr>
        <w:t>3</w:t>
      </w:r>
      <w:r w:rsidRPr="0084270E">
        <w:rPr>
          <w:i/>
        </w:rPr>
        <w:t>,</w:t>
      </w:r>
      <w:r>
        <w:rPr>
          <w:i/>
        </w:rPr>
        <w:t xml:space="preserve"> Putri Ramadhani</w:t>
      </w:r>
      <w:r w:rsidRPr="0084270E">
        <w:rPr>
          <w:i/>
          <w:vertAlign w:val="superscript"/>
        </w:rPr>
        <w:t>4</w:t>
      </w:r>
    </w:p>
    <w:p w14:paraId="6F035C9A" w14:textId="77777777" w:rsidR="00D24FD8" w:rsidRPr="0065515B" w:rsidRDefault="00D24FD8" w:rsidP="00D24FD8">
      <w:pPr>
        <w:pStyle w:val="Addresses"/>
        <w:spacing w:line="240" w:lineRule="auto"/>
        <w:rPr>
          <w:i w:val="0"/>
          <w:color w:val="FF0000"/>
          <w:sz w:val="22"/>
          <w:szCs w:val="22"/>
        </w:rPr>
      </w:pPr>
    </w:p>
    <w:p w14:paraId="6F04805F" w14:textId="77777777" w:rsidR="00D24FD8" w:rsidRPr="0084270E" w:rsidRDefault="00D24FD8" w:rsidP="00D24FD8">
      <w:pPr>
        <w:pStyle w:val="Addresses"/>
        <w:spacing w:line="240" w:lineRule="auto"/>
        <w:rPr>
          <w:sz w:val="16"/>
          <w:szCs w:val="16"/>
        </w:rPr>
      </w:pPr>
      <w:r w:rsidRPr="0084270E">
        <w:rPr>
          <w:b/>
          <w:sz w:val="16"/>
          <w:szCs w:val="16"/>
          <w:vertAlign w:val="superscript"/>
        </w:rPr>
        <w:t>1</w:t>
      </w:r>
      <w:r w:rsidR="0084270E" w:rsidRPr="0084270E">
        <w:rPr>
          <w:sz w:val="16"/>
          <w:szCs w:val="16"/>
        </w:rPr>
        <w:t>Departemen Klinis dan Komunitas</w:t>
      </w:r>
      <w:r w:rsidRPr="0084270E">
        <w:rPr>
          <w:sz w:val="16"/>
          <w:szCs w:val="16"/>
        </w:rPr>
        <w:t>, Fakultas</w:t>
      </w:r>
      <w:r w:rsidR="0084270E" w:rsidRPr="0084270E">
        <w:rPr>
          <w:sz w:val="16"/>
          <w:szCs w:val="16"/>
        </w:rPr>
        <w:t xml:space="preserve"> Farmasi</w:t>
      </w:r>
      <w:r w:rsidRPr="0084270E">
        <w:rPr>
          <w:sz w:val="16"/>
          <w:szCs w:val="16"/>
        </w:rPr>
        <w:t>, Universitas</w:t>
      </w:r>
      <w:r w:rsidR="0084270E" w:rsidRPr="0084270E">
        <w:rPr>
          <w:sz w:val="16"/>
          <w:szCs w:val="16"/>
        </w:rPr>
        <w:t xml:space="preserve"> Hang Tuah</w:t>
      </w:r>
      <w:r w:rsidRPr="0084270E">
        <w:rPr>
          <w:sz w:val="16"/>
          <w:szCs w:val="16"/>
        </w:rPr>
        <w:t xml:space="preserve">, </w:t>
      </w:r>
      <w:r w:rsidR="0084270E" w:rsidRPr="0084270E">
        <w:rPr>
          <w:sz w:val="16"/>
          <w:szCs w:val="16"/>
        </w:rPr>
        <w:t>Surabaya</w:t>
      </w:r>
      <w:r w:rsidRPr="0084270E">
        <w:rPr>
          <w:sz w:val="16"/>
          <w:szCs w:val="16"/>
        </w:rPr>
        <w:t xml:space="preserve">, </w:t>
      </w:r>
      <w:r w:rsidR="0084270E" w:rsidRPr="0084270E">
        <w:rPr>
          <w:sz w:val="16"/>
          <w:szCs w:val="16"/>
        </w:rPr>
        <w:t>Indonesia</w:t>
      </w:r>
    </w:p>
    <w:p w14:paraId="1ABDA33E" w14:textId="77777777" w:rsidR="00D24FD8" w:rsidRDefault="00D24FD8" w:rsidP="00D24FD8">
      <w:pPr>
        <w:pStyle w:val="Addresses"/>
        <w:spacing w:line="240" w:lineRule="auto"/>
        <w:rPr>
          <w:sz w:val="16"/>
          <w:szCs w:val="16"/>
        </w:rPr>
      </w:pPr>
      <w:r w:rsidRPr="0084270E">
        <w:rPr>
          <w:b/>
          <w:i w:val="0"/>
          <w:sz w:val="16"/>
          <w:szCs w:val="16"/>
          <w:vertAlign w:val="superscript"/>
        </w:rPr>
        <w:t>2</w:t>
      </w:r>
      <w:r w:rsidR="007862DA">
        <w:rPr>
          <w:b/>
          <w:i w:val="0"/>
          <w:sz w:val="16"/>
          <w:szCs w:val="16"/>
          <w:vertAlign w:val="superscript"/>
        </w:rPr>
        <w:t>,3</w:t>
      </w:r>
      <w:r w:rsidR="0084270E" w:rsidRPr="0084270E">
        <w:rPr>
          <w:sz w:val="16"/>
          <w:szCs w:val="16"/>
        </w:rPr>
        <w:t>Fakultas Farmasi, Universitas Hang Tuah, Surabaya, Indonesia</w:t>
      </w:r>
    </w:p>
    <w:p w14:paraId="782C3632" w14:textId="77777777" w:rsidR="0084270E" w:rsidRPr="0084270E" w:rsidRDefault="007862DA" w:rsidP="00D24FD8">
      <w:pPr>
        <w:pStyle w:val="Addresses"/>
        <w:spacing w:line="240" w:lineRule="auto"/>
        <w:rPr>
          <w:sz w:val="16"/>
          <w:szCs w:val="16"/>
          <w:lang w:val="id-ID"/>
        </w:rPr>
      </w:pPr>
      <w:r>
        <w:rPr>
          <w:sz w:val="16"/>
          <w:szCs w:val="16"/>
          <w:vertAlign w:val="superscript"/>
        </w:rPr>
        <w:t>4</w:t>
      </w:r>
      <w:r w:rsidR="0084270E">
        <w:rPr>
          <w:sz w:val="16"/>
          <w:szCs w:val="16"/>
        </w:rPr>
        <w:t xml:space="preserve">Departemen Farmakologi dan Farmasi Klinik, Sekolah Tinggi Ilmu Farmasi </w:t>
      </w:r>
      <w:r>
        <w:rPr>
          <w:sz w:val="16"/>
          <w:szCs w:val="16"/>
        </w:rPr>
        <w:t>(STIFARM) Padang, Padang, Sumatera Barat, Indonesia</w:t>
      </w:r>
    </w:p>
    <w:p w14:paraId="5328109A" w14:textId="77777777" w:rsidR="00D24FD8" w:rsidRPr="007862DA" w:rsidRDefault="00D24FD8" w:rsidP="00D24FD8">
      <w:pPr>
        <w:pStyle w:val="Addresses"/>
        <w:spacing w:line="240" w:lineRule="auto"/>
        <w:rPr>
          <w:sz w:val="16"/>
          <w:szCs w:val="16"/>
        </w:rPr>
      </w:pPr>
      <w:r w:rsidRPr="007862DA">
        <w:rPr>
          <w:sz w:val="16"/>
          <w:szCs w:val="16"/>
        </w:rPr>
        <w:t xml:space="preserve">*E-mail: </w:t>
      </w:r>
      <w:hyperlink r:id="rId12" w:history="1">
        <w:r w:rsidR="0084270E" w:rsidRPr="007862DA">
          <w:rPr>
            <w:rStyle w:val="Hyperlink"/>
            <w:sz w:val="16"/>
            <w:szCs w:val="16"/>
          </w:rPr>
          <w:t>nurul.farmasi@hangtuah.ac.id</w:t>
        </w:r>
      </w:hyperlink>
      <w:r w:rsidR="0084270E" w:rsidRPr="007862DA">
        <w:rPr>
          <w:rFonts w:ascii="BatangChe"/>
          <w:sz w:val="16"/>
          <w:szCs w:val="16"/>
        </w:rPr>
        <w:t xml:space="preserve"> </w:t>
      </w:r>
    </w:p>
    <w:p w14:paraId="4311C846" w14:textId="77777777" w:rsidR="00D24FD8" w:rsidRDefault="00D24FD8" w:rsidP="00D24FD8">
      <w:pPr>
        <w:pStyle w:val="Addresses"/>
        <w:spacing w:line="240" w:lineRule="auto"/>
        <w:rPr>
          <w:i w:val="0"/>
          <w:color w:val="FF0000"/>
        </w:rPr>
      </w:pPr>
      <w:r w:rsidRPr="00B2679D">
        <w:rPr>
          <w:i w:val="0"/>
          <w:color w:val="FF0000"/>
        </w:rPr>
        <w:t xml:space="preserve"> </w:t>
      </w:r>
    </w:p>
    <w:p w14:paraId="1C3D0797" w14:textId="77777777" w:rsidR="00D24FD8" w:rsidRPr="001B7205" w:rsidRDefault="00D24FD8" w:rsidP="00D24FD8">
      <w:pPr>
        <w:pStyle w:val="Addresses"/>
        <w:spacing w:line="240" w:lineRule="auto"/>
        <w:rPr>
          <w:i w:val="0"/>
        </w:rPr>
      </w:pPr>
    </w:p>
    <w:p w14:paraId="6C58DD61" w14:textId="77777777" w:rsidR="00D24FD8" w:rsidRPr="0065515B" w:rsidRDefault="00D24FD8" w:rsidP="00D24FD8">
      <w:pPr>
        <w:pStyle w:val="Heading1"/>
      </w:pPr>
      <w:r w:rsidRPr="0065515B">
        <w:t>Abstrak</w:t>
      </w:r>
    </w:p>
    <w:p w14:paraId="2831D4EA" w14:textId="77777777" w:rsidR="007862DA" w:rsidRDefault="007862DA" w:rsidP="007862DA">
      <w:pPr>
        <w:spacing w:line="240" w:lineRule="auto"/>
        <w:ind w:left="-104" w:right="-108"/>
        <w:rPr>
          <w:sz w:val="20"/>
        </w:rPr>
      </w:pPr>
      <w:commentRangeStart w:id="2"/>
      <w:r w:rsidRPr="003D4F26">
        <w:rPr>
          <w:sz w:val="20"/>
        </w:rPr>
        <w:t>Sepsis neonatus merupakan salah satu penyebab utama morbiditas dan mortalitas pada neonatus sehingga penggunaan antibiotik yang tepat menjadi sangat penting untuk meningkatkan outcome klinis serta menekan angka resistensi. Tujuan: menganalisis pola penggunaan antibiotik pada pasien sepsis neonatus yang meliputi antibiotik yang digunakan, durasi penggunaan hingga  outcome klinis di ruang NICU RSUD Haji Provinsi Jawa Timur. Desain penelitian menggunakan metode cross-sectional retrospektif pada periode Oktober 2023-Desember 2024. Hasil: dari 33 pasien sepsis neonatus yang memenuhi kriteria inklusi mayoritas berjenis kelamin laki-laki sebesar 63,64%, lahir dengan berat badan lahir rendah (BBLR) sebesar 54,55%, dilahirkan melalui operasi sesar sebanyak 57,58% dan mengalami sepsis onset dini (78,79%). Antibiotik lini pertama yang sering digunakan adalah kombinasi ampisilin-gentamisin sebanyak 60,61% dengan durasi penggunaan antibiotik ≤7 hari sebanyak 42,42%. Antibiotik lini kedua sebesar 39,39% digunakan pada sepsis neonatus dengan rujukan dan dengan kategori late onset. Efektivitas pemberian antibiotik dilihat dari outcome klinis yang meliputi tingkat kesembuhan sebesar 57,58% dan membutuhkan lama rawat inap ≤7 hari sebanyak 36,36%. Kesimpulan: Secara keseluruhan, pemberian antibiotik di RSUD Provinsi Haji menggunakan antibiotik lini pertama ampisilin-gentamisin dengan durasi penggunaan antibiotik ≤7 hari. Antibiotik lini pertama kombinasi ampisilin-gentamisin terbukti efektif yang dapat dilihat melalui outcome klinis yaitu tingkat kesembuhan yang tinggi dan membutuhkan rawat inap yang singkat. Namun di beberapa kasus atau kondisi, kombinasi ampisilin-gentamisin menujukkan resistensi yang dilihat dari hasil kultur positif sebanyak 5 kasus.</w:t>
      </w:r>
      <w:commentRangeEnd w:id="2"/>
      <w:r w:rsidR="002B7019">
        <w:rPr>
          <w:rStyle w:val="CommentReference"/>
          <w:sz w:val="20"/>
          <w:szCs w:val="20"/>
        </w:rPr>
        <w:commentReference w:id="2"/>
      </w:r>
    </w:p>
    <w:p w14:paraId="1AC1E675" w14:textId="77777777" w:rsidR="00D24FD8" w:rsidRPr="007862DA" w:rsidRDefault="00D24FD8" w:rsidP="007862DA">
      <w:pPr>
        <w:spacing w:line="240" w:lineRule="auto"/>
        <w:ind w:left="-104" w:right="-108"/>
        <w:rPr>
          <w:rFonts w:eastAsia="Batang"/>
          <w:sz w:val="20"/>
        </w:rPr>
      </w:pPr>
      <w:r>
        <w:rPr>
          <w:b/>
          <w:sz w:val="20"/>
        </w:rPr>
        <w:t>Kata kunci</w:t>
      </w:r>
      <w:r w:rsidRPr="00906FB4">
        <w:rPr>
          <w:b/>
          <w:sz w:val="20"/>
        </w:rPr>
        <w:t xml:space="preserve">:  </w:t>
      </w:r>
      <w:r w:rsidR="007862DA" w:rsidRPr="007862DA">
        <w:rPr>
          <w:b/>
          <w:bCs/>
          <w:i/>
          <w:iCs/>
          <w:sz w:val="20"/>
        </w:rPr>
        <w:t>Sepsis neonatus</w:t>
      </w:r>
      <w:r w:rsidRPr="007862DA">
        <w:rPr>
          <w:b/>
          <w:bCs/>
          <w:i/>
          <w:iCs/>
          <w:sz w:val="20"/>
        </w:rPr>
        <w:t xml:space="preserve">; </w:t>
      </w:r>
      <w:r w:rsidR="007862DA" w:rsidRPr="007862DA">
        <w:rPr>
          <w:b/>
          <w:bCs/>
          <w:i/>
          <w:iCs/>
          <w:sz w:val="20"/>
        </w:rPr>
        <w:t>ampisilin</w:t>
      </w:r>
      <w:r w:rsidRPr="007862DA">
        <w:rPr>
          <w:b/>
          <w:bCs/>
          <w:i/>
          <w:iCs/>
          <w:sz w:val="20"/>
        </w:rPr>
        <w:t xml:space="preserve">; </w:t>
      </w:r>
      <w:r w:rsidR="007862DA" w:rsidRPr="007862DA">
        <w:rPr>
          <w:b/>
          <w:bCs/>
          <w:i/>
          <w:iCs/>
          <w:sz w:val="20"/>
        </w:rPr>
        <w:t>gentamisin; meropenem; amikasin</w:t>
      </w:r>
      <w:r w:rsidRPr="007862DA">
        <w:rPr>
          <w:i/>
          <w:iCs/>
          <w:sz w:val="20"/>
        </w:rPr>
        <w:t xml:space="preserve"> </w:t>
      </w:r>
    </w:p>
    <w:p w14:paraId="1BB2DAFE" w14:textId="77777777" w:rsidR="00D24FD8" w:rsidRDefault="00D24FD8" w:rsidP="00D24FD8">
      <w:pPr>
        <w:pStyle w:val="Addresses"/>
        <w:spacing w:line="240" w:lineRule="auto"/>
        <w:rPr>
          <w:i w:val="0"/>
          <w:color w:val="FF0000"/>
        </w:rPr>
      </w:pPr>
    </w:p>
    <w:p w14:paraId="3787F680" w14:textId="77777777" w:rsidR="00D24FD8" w:rsidRPr="00E64B01" w:rsidRDefault="00D24FD8" w:rsidP="00D24FD8">
      <w:pPr>
        <w:pStyle w:val="Addresses"/>
        <w:spacing w:line="240" w:lineRule="auto"/>
        <w:rPr>
          <w:i w:val="0"/>
          <w:color w:val="FF0000"/>
        </w:rPr>
      </w:pPr>
    </w:p>
    <w:p w14:paraId="76085720" w14:textId="77777777" w:rsidR="00D24FD8" w:rsidRPr="00AC443F" w:rsidRDefault="00D24FD8" w:rsidP="00D24FD8">
      <w:pPr>
        <w:pStyle w:val="Heading1"/>
      </w:pPr>
      <w:r w:rsidRPr="00AC443F">
        <w:t xml:space="preserve">Abstract </w:t>
      </w:r>
    </w:p>
    <w:p w14:paraId="39036388" w14:textId="77777777" w:rsidR="007862DA" w:rsidRDefault="007862DA" w:rsidP="007862DA">
      <w:pPr>
        <w:spacing w:line="240" w:lineRule="auto"/>
        <w:ind w:left="-104"/>
        <w:rPr>
          <w:bCs/>
          <w:i/>
          <w:sz w:val="20"/>
        </w:rPr>
      </w:pPr>
      <w:commentRangeStart w:id="3"/>
      <w:r w:rsidRPr="003D4F26">
        <w:rPr>
          <w:bCs/>
          <w:i/>
          <w:sz w:val="20"/>
        </w:rPr>
        <w:t>Neonatal sepsis is one of the main causes of morbidity and mortality in neonates so that the use of appropriate antibiotics is very important to improve clinical outcomes and reduce resistance rates. Objective: to analyze the pattern of antibiotic use in neonatal sepsis patients including antibiotics used, duration of use to clinical outcomes in the NICU room of Haji Regional General Hospital, East Java Province. The study design used a retrospective cross-sectional method in the period October 2023-December 2024. Results: of 33 neonatal sepsis patients who met the inclusion criteria, the majority were male (63.64%), born with low birth weight (LBW) (54.55%), born by cesarean section (57.58%) and experienced early onset sepsis (78.79%). The first-line antibiotic frequently used was a combination of ampicillin-gentamicin (60.61%) with a duration of antibiotic use ≤7 days (42.42%). Second-line antibiotics were used in 39.39% of neonatal sepsis referrals and late-onset cases. The effectiveness of antibiotic administration was assessed through clinical outcomes, including a cure rate of 57.58% and a hospital stay of ≤7 days in 36.36%. Conclusion: Overall, antibiotic administration at Haji Provincial Hospital used the first-line antibiotic ampicillin-gentamicin with a duration of antibiotic use of ≤7 days. The first-line antibiotic ampicillin-gentamicin combination proved effective, as evidenced by clinical outcomes, including a high cure rate and a shorter hospital stay. However, in some cases or conditions, the ampicillin-gentamicin combination showed resistance, as evidenced by positive culture results in 5 cases</w:t>
      </w:r>
      <w:commentRangeEnd w:id="3"/>
      <w:r w:rsidR="002B7019" w:rsidRPr="003D4F26">
        <w:rPr>
          <w:rStyle w:val="CommentReference"/>
          <w:bCs/>
          <w:i/>
          <w:sz w:val="20"/>
          <w:szCs w:val="20"/>
        </w:rPr>
        <w:commentReference w:id="3"/>
      </w:r>
      <w:r w:rsidRPr="003D4F26">
        <w:rPr>
          <w:bCs/>
          <w:i/>
          <w:sz w:val="20"/>
        </w:rPr>
        <w:t>.</w:t>
      </w:r>
    </w:p>
    <w:p w14:paraId="520E2A74" w14:textId="77777777" w:rsidR="00D24FD8" w:rsidRPr="007862DA" w:rsidRDefault="00D24FD8" w:rsidP="007862DA">
      <w:pPr>
        <w:spacing w:line="240" w:lineRule="auto"/>
        <w:ind w:left="-104"/>
        <w:rPr>
          <w:bCs/>
          <w:i/>
          <w:sz w:val="20"/>
        </w:rPr>
      </w:pPr>
      <w:r w:rsidRPr="00AC443F">
        <w:rPr>
          <w:b/>
          <w:sz w:val="20"/>
        </w:rPr>
        <w:t>Keywords</w:t>
      </w:r>
      <w:r w:rsidRPr="00AC443F">
        <w:rPr>
          <w:b/>
          <w:i/>
          <w:sz w:val="20"/>
        </w:rPr>
        <w:t>:</w:t>
      </w:r>
      <w:r w:rsidRPr="0065515B">
        <w:rPr>
          <w:b/>
          <w:i/>
          <w:sz w:val="20"/>
        </w:rPr>
        <w:t xml:space="preserve">  </w:t>
      </w:r>
      <w:r w:rsidR="007862DA" w:rsidRPr="007862DA">
        <w:rPr>
          <w:b/>
          <w:i/>
          <w:sz w:val="20"/>
        </w:rPr>
        <w:t>Neonatal sepsi</w:t>
      </w:r>
      <w:r w:rsidR="007862DA">
        <w:rPr>
          <w:b/>
          <w:i/>
          <w:sz w:val="20"/>
        </w:rPr>
        <w:t>;</w:t>
      </w:r>
      <w:r w:rsidR="007862DA" w:rsidRPr="007862DA">
        <w:rPr>
          <w:b/>
          <w:i/>
          <w:sz w:val="20"/>
        </w:rPr>
        <w:t xml:space="preserve"> ampicillin</w:t>
      </w:r>
      <w:r w:rsidR="00884871">
        <w:rPr>
          <w:b/>
          <w:i/>
          <w:sz w:val="20"/>
        </w:rPr>
        <w:t>;</w:t>
      </w:r>
      <w:r w:rsidR="007862DA" w:rsidRPr="007862DA">
        <w:rPr>
          <w:b/>
          <w:i/>
          <w:sz w:val="20"/>
        </w:rPr>
        <w:t xml:space="preserve"> gentamicin</w:t>
      </w:r>
      <w:r w:rsidR="00884871">
        <w:rPr>
          <w:b/>
          <w:i/>
          <w:sz w:val="20"/>
        </w:rPr>
        <w:t>;</w:t>
      </w:r>
      <w:r w:rsidR="007862DA" w:rsidRPr="007862DA">
        <w:rPr>
          <w:b/>
          <w:i/>
          <w:sz w:val="20"/>
        </w:rPr>
        <w:t xml:space="preserve"> meropenem</w:t>
      </w:r>
      <w:r w:rsidR="00884871">
        <w:rPr>
          <w:b/>
          <w:i/>
          <w:sz w:val="20"/>
        </w:rPr>
        <w:t xml:space="preserve">; </w:t>
      </w:r>
      <w:r w:rsidR="007862DA" w:rsidRPr="007862DA">
        <w:rPr>
          <w:b/>
          <w:i/>
          <w:sz w:val="20"/>
        </w:rPr>
        <w:t>amikacin</w:t>
      </w:r>
      <w:r w:rsidR="007862DA" w:rsidRPr="00AC443F">
        <w:rPr>
          <w:sz w:val="20"/>
        </w:rPr>
        <w:t xml:space="preserve"> </w:t>
      </w:r>
    </w:p>
    <w:p w14:paraId="047F7A03" w14:textId="77777777" w:rsidR="009A691F" w:rsidRDefault="009A691F" w:rsidP="00884871">
      <w:pPr>
        <w:pStyle w:val="Addresses"/>
        <w:spacing w:line="240" w:lineRule="auto"/>
        <w:jc w:val="both"/>
        <w:rPr>
          <w:i w:val="0"/>
          <w:color w:val="FF0000"/>
        </w:rPr>
      </w:pPr>
    </w:p>
    <w:p w14:paraId="29787EB6" w14:textId="77777777" w:rsidR="00D24FD8" w:rsidRPr="00E64B01" w:rsidRDefault="00D24FD8" w:rsidP="00D24FD8">
      <w:pPr>
        <w:pStyle w:val="Addresses"/>
        <w:spacing w:line="240" w:lineRule="auto"/>
        <w:rPr>
          <w:i w:val="0"/>
          <w:color w:val="FF0000"/>
        </w:rPr>
      </w:pPr>
    </w:p>
    <w:p w14:paraId="0EA1D9BF"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A16C1CA" wp14:editId="46152FE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F747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22B2EC1" w14:textId="77777777" w:rsidR="00D24FD8" w:rsidRDefault="00D24FD8" w:rsidP="00D24FD8">
      <w:pPr>
        <w:spacing w:line="240" w:lineRule="auto"/>
        <w:rPr>
          <w:b/>
        </w:rPr>
        <w:sectPr w:rsidR="00D24FD8" w:rsidSect="00D24FD8">
          <w:headerReference w:type="default" r:id="rId13"/>
          <w:headerReference w:type="first" r:id="rId14"/>
          <w:footerReference w:type="first" r:id="rId15"/>
          <w:endnotePr>
            <w:numFmt w:val="decimal"/>
          </w:endnotePr>
          <w:pgSz w:w="11907" w:h="16840" w:code="9"/>
          <w:pgMar w:top="1418" w:right="1134" w:bottom="1418" w:left="1418" w:header="851" w:footer="851" w:gutter="0"/>
          <w:cols w:space="567"/>
          <w:noEndnote/>
          <w:docGrid w:linePitch="271"/>
        </w:sectPr>
      </w:pPr>
    </w:p>
    <w:p w14:paraId="7DAD8F0E" w14:textId="77777777" w:rsidR="00D24FD8" w:rsidRPr="0065515B" w:rsidRDefault="00D24FD8" w:rsidP="00D24FD8">
      <w:pPr>
        <w:spacing w:line="240" w:lineRule="auto"/>
        <w:rPr>
          <w:b/>
        </w:rPr>
      </w:pPr>
      <w:r w:rsidRPr="0065515B">
        <w:rPr>
          <w:b/>
        </w:rPr>
        <w:t>PENDAHULUAN</w:t>
      </w:r>
    </w:p>
    <w:p w14:paraId="0656107D" w14:textId="77777777" w:rsidR="00D24FD8" w:rsidRDefault="00D24FD8" w:rsidP="00C327FC">
      <w:pPr>
        <w:pStyle w:val="Body"/>
        <w:spacing w:line="240" w:lineRule="auto"/>
        <w:ind w:firstLine="0"/>
        <w:rPr>
          <w:rStyle w:val="hps"/>
          <w:lang w:val="id-ID"/>
        </w:rPr>
      </w:pPr>
    </w:p>
    <w:p w14:paraId="2EC33D64" w14:textId="7368AC9D" w:rsidR="00C327FC" w:rsidRPr="00FE5AE0" w:rsidRDefault="00C327FC" w:rsidP="00C327FC">
      <w:pPr>
        <w:spacing w:line="240" w:lineRule="auto"/>
        <w:ind w:firstLine="720"/>
      </w:pPr>
      <w:commentRangeStart w:id="4"/>
      <w:commentRangeStart w:id="5"/>
      <w:r w:rsidRPr="00FE5AE0">
        <w:t xml:space="preserve">Sepsis hingga kini masih menjadi penyebab utama kematian pada bayi baru lahir di 5 hari kehidupan terutama di negara berkembang atau berpenghasilan rendah </w:t>
      </w:r>
      <w:r w:rsidRPr="00FE5AE0">
        <w:t xml:space="preserve">dengan estimasi 0,4 juta kematian di tahun 2015 (WHO, 2018). Menurut data dari Badan Pusat Statistik, Indonesia yang tergolong dalam </w:t>
      </w:r>
      <w:r w:rsidR="002B7019">
        <w:t>negara</w:t>
      </w:r>
      <w:r w:rsidRPr="00FE5AE0">
        <w:t xml:space="preserve"> berkembang, pada tahun 2024 masih mencatat angka kematian neonatus di atas 10 per 1000 kelahiran hidup. Kondisi ini </w:t>
      </w:r>
      <w:r w:rsidRPr="00FE5AE0">
        <w:lastRenderedPageBreak/>
        <w:t xml:space="preserve">menjadikan Indonesia sebagai negara dengan tingkat kematian neonatus tertinggi di Asia Tenggara </w:t>
      </w:r>
      <w:r w:rsidRPr="002B7019">
        <w:rPr>
          <w:noProof/>
          <w:highlight w:val="yellow"/>
        </w:rPr>
        <w:t>(BPS, 2024)</w:t>
      </w:r>
      <w:r w:rsidRPr="002B7019">
        <w:rPr>
          <w:highlight w:val="yellow"/>
        </w:rPr>
        <w:t xml:space="preserve"> </w:t>
      </w:r>
      <w:r w:rsidRPr="002B7019">
        <w:rPr>
          <w:color w:val="000000"/>
          <w:highlight w:val="yellow"/>
        </w:rPr>
        <w:t>(Izati et al., 2024)</w:t>
      </w:r>
      <w:r w:rsidRPr="002B7019">
        <w:rPr>
          <w:highlight w:val="yellow"/>
        </w:rPr>
        <w:t>.</w:t>
      </w:r>
      <w:r w:rsidRPr="00FE5AE0">
        <w:t xml:space="preserve"> Sepsis neonatus merupakan sindroma infeksi yang disebabkan bakteri dan bersifat invasif di bulan pertama kehidupan (Raturi &amp; Chandran, 2024). </w:t>
      </w:r>
      <w:commentRangeStart w:id="6"/>
      <w:r w:rsidRPr="00FE5AE0">
        <w:t>Sepsis neonatus diklasifikasikan berdasarkan onsetnya menjadi dua yaitu sepsis onset dini (EOS) dan late-onset sepsis (LOS). EOS terjadi sampai 72 jam kelahiran (umur dibawah 3 hari)</w:t>
      </w:r>
      <w:r w:rsidR="002B7019">
        <w:t>, s</w:t>
      </w:r>
      <w:r w:rsidRPr="00FE5AE0">
        <w:t xml:space="preserve">edangkan untuk LOS, infeksi yang terjadi setelah hari ke-3 lahir dimana sumber infeksi horizontal yang berasal dari lingkungan di sekitar bayi setelah lahir. </w:t>
      </w:r>
      <w:commentRangeEnd w:id="6"/>
      <w:r w:rsidR="002B7019" w:rsidRPr="00FE5AE0">
        <w:rPr>
          <w:rStyle w:val="CommentReference"/>
          <w:sz w:val="24"/>
          <w:szCs w:val="20"/>
        </w:rPr>
        <w:commentReference w:id="6"/>
      </w:r>
    </w:p>
    <w:p w14:paraId="27B79C55" w14:textId="3A3CDE4D" w:rsidR="002B7019" w:rsidRDefault="00C327FC" w:rsidP="00C327FC">
      <w:pPr>
        <w:spacing w:line="240" w:lineRule="auto"/>
        <w:ind w:firstLine="720"/>
      </w:pPr>
      <w:r w:rsidRPr="00FE5AE0">
        <w:t xml:space="preserve">Manajemen terapi yang tepat dan adekuat menentukan keberhasilan dalam pengobatan sepsis neonatus. Bayi dengan manifestasi klinis yang mengarah ke EOS segera diberikan antibiotik empiris (WHO, 2018). WHO merekomendasikan pilihan pertama sebagai antibiotik empiris yaitu kombinasi ampisilin dengan gentamisin dengan tetap menyesuaikan terhadap pola bakteri dan resistensi setempat. Keterlambatan pemberian antibiotik empiris dapat meningkatkan angka kematian pada sepsis neonatus </w:t>
      </w:r>
      <w:r w:rsidRPr="002B7019">
        <w:rPr>
          <w:highlight w:val="yellow"/>
        </w:rPr>
        <w:t>(Ray et al.,</w:t>
      </w:r>
      <w:r w:rsidR="00690726">
        <w:rPr>
          <w:highlight w:val="yellow"/>
        </w:rPr>
        <w:t xml:space="preserve"> </w:t>
      </w:r>
      <w:r w:rsidRPr="002B7019">
        <w:rPr>
          <w:highlight w:val="yellow"/>
        </w:rPr>
        <w:t>2021) (Al-Matary et al.,</w:t>
      </w:r>
      <w:r w:rsidR="00690726">
        <w:rPr>
          <w:highlight w:val="yellow"/>
        </w:rPr>
        <w:t xml:space="preserve"> </w:t>
      </w:r>
      <w:r w:rsidRPr="002B7019">
        <w:rPr>
          <w:highlight w:val="yellow"/>
        </w:rPr>
        <w:t>2022).</w:t>
      </w:r>
      <w:r w:rsidRPr="00FE5AE0">
        <w:t xml:space="preserve"> </w:t>
      </w:r>
      <w:r w:rsidR="002B7019">
        <w:t>P</w:t>
      </w:r>
      <w:r w:rsidRPr="00FE5AE0">
        <w:t xml:space="preserve">enelitian sebelumnya  melakukan analisis penggunaan antibiotik di NICU RSUP Prof. Dr. R. D. Kandou Manado </w:t>
      </w:r>
      <w:r w:rsidR="002B7019">
        <w:t xml:space="preserve">menyatakan </w:t>
      </w:r>
      <w:r w:rsidRPr="00FE5AE0">
        <w:t xml:space="preserve">bahwa antibiotik lini pertama yang terbanyak digunakan yaitu kombinasi ampisilin dan gentamisin yang digunakan dengan durasi </w:t>
      </w:r>
      <w:r w:rsidRPr="00FE5AE0">
        <w:rPr>
          <w:u w:val="single"/>
        </w:rPr>
        <w:t>&lt;</w:t>
      </w:r>
      <w:r w:rsidRPr="00FE5AE0">
        <w:t xml:space="preserve">5 hari (Tesalonika </w:t>
      </w:r>
      <w:r w:rsidRPr="002B7019">
        <w:rPr>
          <w:i/>
          <w:iCs/>
        </w:rPr>
        <w:t>et al</w:t>
      </w:r>
      <w:r w:rsidR="002B7019">
        <w:t>.</w:t>
      </w:r>
      <w:r w:rsidRPr="00FE5AE0">
        <w:t>, 2020). Penelitian lain yang dilakukan oleh Cantey</w:t>
      </w:r>
      <w:r w:rsidR="002B7019">
        <w:t xml:space="preserve"> dan</w:t>
      </w:r>
      <w:r w:rsidRPr="00FE5AE0">
        <w:t xml:space="preserve"> Baird</w:t>
      </w:r>
      <w:r w:rsidR="002B7019">
        <w:t xml:space="preserve"> (</w:t>
      </w:r>
      <w:r w:rsidRPr="00FE5AE0">
        <w:t>2017</w:t>
      </w:r>
      <w:r w:rsidR="002B7019">
        <w:t>)</w:t>
      </w:r>
      <w:r w:rsidRPr="00FE5AE0">
        <w:t xml:space="preserve"> menunjukkan bahwa pemberian antibiotik yang berlebihan dapat memicu kolonisasi bakteri resisten serta mengganggu mikrobiota usus. </w:t>
      </w:r>
    </w:p>
    <w:p w14:paraId="1316DEBA" w14:textId="26615DA1" w:rsidR="00C327FC" w:rsidRPr="00FE5AE0" w:rsidRDefault="00C327FC" w:rsidP="00C327FC">
      <w:pPr>
        <w:spacing w:line="240" w:lineRule="auto"/>
        <w:ind w:firstLine="720"/>
      </w:pPr>
      <w:r w:rsidRPr="00FE5AE0">
        <w:t xml:space="preserve">Novelti pada penelitian ini </w:t>
      </w:r>
      <w:r w:rsidR="00690726">
        <w:t xml:space="preserve">adalah </w:t>
      </w:r>
      <w:r w:rsidRPr="00FE5AE0">
        <w:t xml:space="preserve"> melihat </w:t>
      </w:r>
      <w:r w:rsidRPr="002B7019">
        <w:rPr>
          <w:i/>
          <w:iCs/>
        </w:rPr>
        <w:t>outcome</w:t>
      </w:r>
      <w:r w:rsidRPr="00FE5AE0">
        <w:t xml:space="preserve"> dari pemberian antibiotik melalui kesembuhan dan lama rawat inap sebab dari penelitian yang dilakukan oleh Murray </w:t>
      </w:r>
      <w:r w:rsidRPr="00690726">
        <w:rPr>
          <w:i/>
          <w:iCs/>
        </w:rPr>
        <w:t>et al</w:t>
      </w:r>
      <w:r w:rsidRPr="00FE5AE0">
        <w:t xml:space="preserve">., </w:t>
      </w:r>
      <w:r w:rsidR="00690726">
        <w:t>(</w:t>
      </w:r>
      <w:r w:rsidRPr="00FE5AE0">
        <w:t>2019</w:t>
      </w:r>
      <w:r w:rsidR="00690726">
        <w:t>)</w:t>
      </w:r>
      <w:r w:rsidRPr="00FE5AE0">
        <w:t xml:space="preserve"> menunjukkan bahwa terapi empiris berkepanjangan memperburuk outcome pada neonatus dengan berat lahir rendah</w:t>
      </w:r>
      <w:r w:rsidR="00690726">
        <w:t>.</w:t>
      </w:r>
      <w:commentRangeEnd w:id="4"/>
      <w:r w:rsidR="00690726" w:rsidRPr="00FE5AE0">
        <w:rPr>
          <w:rStyle w:val="CommentReference"/>
          <w:sz w:val="24"/>
          <w:szCs w:val="20"/>
        </w:rPr>
        <w:commentReference w:id="4"/>
      </w:r>
      <w:commentRangeEnd w:id="5"/>
      <w:r w:rsidR="00FB4950" w:rsidRPr="00FE5AE0">
        <w:rPr>
          <w:rStyle w:val="CommentReference"/>
          <w:sz w:val="24"/>
          <w:szCs w:val="20"/>
        </w:rPr>
        <w:commentReference w:id="5"/>
      </w:r>
    </w:p>
    <w:p w14:paraId="6F6B3E4A" w14:textId="77777777" w:rsidR="00D24FD8" w:rsidRPr="00E64B01" w:rsidRDefault="00D24FD8" w:rsidP="00D24FD8">
      <w:pPr>
        <w:pStyle w:val="Addresses"/>
        <w:spacing w:line="240" w:lineRule="auto"/>
        <w:jc w:val="left"/>
        <w:rPr>
          <w:i w:val="0"/>
          <w:color w:val="FF0000"/>
        </w:rPr>
      </w:pPr>
    </w:p>
    <w:p w14:paraId="004189FC" w14:textId="77777777" w:rsidR="00D24FD8" w:rsidRDefault="00D24FD8" w:rsidP="00D24FD8">
      <w:pPr>
        <w:pStyle w:val="Heading1"/>
        <w:jc w:val="both"/>
      </w:pPr>
      <w:r>
        <w:t>METODE</w:t>
      </w:r>
    </w:p>
    <w:p w14:paraId="6D5727A4" w14:textId="77777777" w:rsidR="00D24FD8" w:rsidRPr="00E64B01" w:rsidRDefault="00D24FD8" w:rsidP="00D24FD8">
      <w:pPr>
        <w:pStyle w:val="Addresses"/>
        <w:spacing w:line="240" w:lineRule="auto"/>
        <w:jc w:val="left"/>
        <w:rPr>
          <w:i w:val="0"/>
          <w:color w:val="FF0000"/>
        </w:rPr>
      </w:pPr>
    </w:p>
    <w:p w14:paraId="55B7496E" w14:textId="77777777" w:rsidR="00690726" w:rsidRDefault="001808C0" w:rsidP="001808C0">
      <w:pPr>
        <w:spacing w:line="240" w:lineRule="auto"/>
        <w:ind w:firstLine="720"/>
      </w:pPr>
      <w:r w:rsidRPr="00025281">
        <w:t xml:space="preserve">Desain penelitian ini adalah </w:t>
      </w:r>
      <w:r w:rsidRPr="00025281">
        <w:rPr>
          <w:rStyle w:val="Emphasis"/>
        </w:rPr>
        <w:t>cross sectional</w:t>
      </w:r>
      <w:r w:rsidRPr="00025281">
        <w:t xml:space="preserve">, dengan pengambilan data retrospektif berdasarkan rekam medis pasien.   </w:t>
      </w:r>
      <w:r w:rsidR="00690726">
        <w:t>Penelitian d</w:t>
      </w:r>
      <w:r w:rsidRPr="00025281">
        <w:t xml:space="preserve">ilaksanakan di Unit Perawatan Intensif Neonatal (NICU) RSUD Haji Provinsi Jawa Timur pada Bulan Oktober 2023-Desember 2024. </w:t>
      </w:r>
    </w:p>
    <w:p w14:paraId="3C468D8D" w14:textId="77777777" w:rsidR="00690726" w:rsidRDefault="00690726" w:rsidP="00690726">
      <w:pPr>
        <w:spacing w:line="240" w:lineRule="auto"/>
      </w:pPr>
    </w:p>
    <w:p w14:paraId="1AEB40BC" w14:textId="07A820B6" w:rsidR="00690726" w:rsidRPr="00690726" w:rsidRDefault="00690726" w:rsidP="00690726">
      <w:pPr>
        <w:spacing w:line="240" w:lineRule="auto"/>
        <w:rPr>
          <w:b/>
          <w:bCs/>
        </w:rPr>
      </w:pPr>
      <w:r w:rsidRPr="00690726">
        <w:rPr>
          <w:b/>
          <w:bCs/>
        </w:rPr>
        <w:t>Populasi dan Sampel</w:t>
      </w:r>
    </w:p>
    <w:p w14:paraId="4398A708" w14:textId="79B11E7B" w:rsidR="001808C0" w:rsidRPr="005A7BB5" w:rsidRDefault="001808C0" w:rsidP="00690726">
      <w:pPr>
        <w:spacing w:line="240" w:lineRule="auto"/>
        <w:ind w:firstLine="720"/>
        <w:rPr>
          <w:b/>
          <w:bCs/>
          <w:szCs w:val="24"/>
        </w:rPr>
      </w:pPr>
      <w:r w:rsidRPr="00025281">
        <w:t xml:space="preserve">Populasi penelitian adalah seluruh neonatus dengan diagnosis sepsis neonatus yang dirawat selama periode tersebut. Pengambilan sampel dilakukan dengan metode </w:t>
      </w:r>
      <w:r w:rsidRPr="00025281">
        <w:rPr>
          <w:rStyle w:val="Emphasis"/>
        </w:rPr>
        <w:t>consecutive sampling</w:t>
      </w:r>
      <w:r w:rsidRPr="00025281">
        <w:t xml:space="preserve">, yaitu seluruh pasien yang memenuhi kriteria inklusi dimasukkan ke dalam penelitian. Kriteria inklusi </w:t>
      </w:r>
      <w:r>
        <w:t xml:space="preserve">yaitu neonatus </w:t>
      </w:r>
      <w:r w:rsidRPr="00025281">
        <w:t>usia 0–28 hari dengan diagnosis sepsis (</w:t>
      </w:r>
      <w:r w:rsidRPr="00FB4950">
        <w:rPr>
          <w:i/>
          <w:iCs/>
        </w:rPr>
        <w:t>probable, possible</w:t>
      </w:r>
      <w:r w:rsidRPr="00025281">
        <w:t xml:space="preserve"> atau </w:t>
      </w:r>
      <w:r w:rsidRPr="00FB4950">
        <w:rPr>
          <w:i/>
          <w:iCs/>
        </w:rPr>
        <w:t>proven</w:t>
      </w:r>
      <w:r w:rsidRPr="00025281">
        <w:t xml:space="preserve"> sepsis</w:t>
      </w:r>
      <w:r>
        <w:t xml:space="preserve">) yang dirawat di NICU RSUD Haji, tidak memiliki kelainan kongenital dan </w:t>
      </w:r>
      <w:r w:rsidRPr="00025281">
        <w:t>memiliki rekam medis lengkap</w:t>
      </w:r>
      <w:r>
        <w:t xml:space="preserve">. </w:t>
      </w:r>
      <w:r w:rsidRPr="005A7BB5">
        <w:t xml:space="preserve">Variabel utama yang diteliti adalah jenis antibiotik, </w:t>
      </w:r>
      <w:r>
        <w:t>lama penggunaan antibiotik</w:t>
      </w:r>
      <w:r w:rsidRPr="005A7BB5">
        <w:t xml:space="preserve">, </w:t>
      </w:r>
      <w:r>
        <w:t xml:space="preserve">dan </w:t>
      </w:r>
      <w:r w:rsidRPr="00FB4950">
        <w:rPr>
          <w:i/>
          <w:iCs/>
        </w:rPr>
        <w:t>outcome</w:t>
      </w:r>
      <w:r>
        <w:t xml:space="preserve"> klinis (</w:t>
      </w:r>
      <w:r w:rsidRPr="005A7BB5">
        <w:t xml:space="preserve">kesembuhan dan lama </w:t>
      </w:r>
      <w:r>
        <w:t>rawat inap).</w:t>
      </w:r>
    </w:p>
    <w:p w14:paraId="524CA7B6" w14:textId="77777777" w:rsidR="00D24FD8" w:rsidRPr="00E263BD" w:rsidRDefault="00D24FD8" w:rsidP="00D24FD8">
      <w:pPr>
        <w:pStyle w:val="Addresses"/>
        <w:spacing w:line="240" w:lineRule="auto"/>
        <w:jc w:val="left"/>
        <w:rPr>
          <w:i w:val="0"/>
          <w:color w:val="FF0000"/>
          <w:szCs w:val="24"/>
        </w:rPr>
      </w:pPr>
    </w:p>
    <w:p w14:paraId="61CAC7BC" w14:textId="77777777" w:rsidR="00D24FD8" w:rsidRDefault="00D24FD8" w:rsidP="00D24FD8">
      <w:pPr>
        <w:pStyle w:val="Body"/>
        <w:spacing w:line="240" w:lineRule="auto"/>
        <w:ind w:firstLine="0"/>
      </w:pPr>
      <w:r w:rsidRPr="0055028E">
        <w:rPr>
          <w:b/>
        </w:rPr>
        <w:t>Prosedur kerja</w:t>
      </w:r>
      <w:r>
        <w:rPr>
          <w:b/>
          <w:lang w:val="id-ID"/>
        </w:rPr>
        <w:t xml:space="preserve"> </w:t>
      </w:r>
    </w:p>
    <w:p w14:paraId="3B5D503D" w14:textId="29E16216" w:rsidR="00D24FD8" w:rsidRPr="007C5361" w:rsidRDefault="00D24FD8" w:rsidP="00D24FD8">
      <w:pPr>
        <w:pStyle w:val="Body"/>
        <w:spacing w:line="240" w:lineRule="auto"/>
        <w:ind w:firstLine="0"/>
      </w:pPr>
      <w:r>
        <w:tab/>
      </w:r>
      <w:commentRangeStart w:id="7"/>
      <w:r w:rsidR="001808C0">
        <w:t>Meng</w:t>
      </w:r>
      <w:r w:rsidR="00FB4950">
        <w:t>ajukan izin</w:t>
      </w:r>
      <w:r w:rsidR="001808C0">
        <w:t xml:space="preserve"> etik penelitian di RSUD Haji </w:t>
      </w:r>
      <w:r w:rsidR="00C37CFA">
        <w:t>Provinsi</w:t>
      </w:r>
      <w:r w:rsidR="001808C0">
        <w:t xml:space="preserve"> Jawa Timur</w:t>
      </w:r>
      <w:r w:rsidR="00FB4950">
        <w:t xml:space="preserve"> (No</w:t>
      </w:r>
      <w:r w:rsidR="00C37CFA">
        <w:t>.</w:t>
      </w:r>
      <w:r w:rsidR="00FB4950">
        <w:t xml:space="preserve"> 445/147/KOM.ETIK/2025)</w:t>
      </w:r>
      <w:r w:rsidR="001808C0">
        <w:t xml:space="preserve">. Setelah etik penelitian terbit, </w:t>
      </w:r>
      <w:r w:rsidR="00C37CFA">
        <w:t>dilakukan</w:t>
      </w:r>
      <w:r w:rsidR="001808C0">
        <w:t xml:space="preserve"> pengambilan data dari rekam medis sesuai dengan kriteria inklusi dan kriteria </w:t>
      </w:r>
      <w:r w:rsidR="00C37CFA">
        <w:t>eksklusi</w:t>
      </w:r>
      <w:r w:rsidR="001808C0">
        <w:t>. Data dianalisis dengan SPSS.</w:t>
      </w:r>
      <w:commentRangeEnd w:id="7"/>
      <w:r w:rsidR="00FB4950" w:rsidRPr="007C5361">
        <w:rPr>
          <w:rStyle w:val="CommentReference"/>
          <w:sz w:val="24"/>
          <w:szCs w:val="20"/>
        </w:rPr>
        <w:commentReference w:id="7"/>
      </w:r>
    </w:p>
    <w:p w14:paraId="05DBFEF1" w14:textId="77777777" w:rsidR="00D24FD8" w:rsidRPr="00B25774" w:rsidRDefault="00D24FD8" w:rsidP="00D24FD8">
      <w:pPr>
        <w:pStyle w:val="Addresses"/>
        <w:spacing w:line="240" w:lineRule="auto"/>
        <w:jc w:val="left"/>
        <w:rPr>
          <w:i w:val="0"/>
          <w:color w:val="FF0000"/>
        </w:rPr>
      </w:pPr>
    </w:p>
    <w:p w14:paraId="63D021AA" w14:textId="77777777" w:rsidR="00D24FD8" w:rsidRDefault="00D24FD8" w:rsidP="00D24FD8">
      <w:pPr>
        <w:pStyle w:val="Heading1"/>
        <w:jc w:val="both"/>
      </w:pPr>
      <w:commentRangeStart w:id="8"/>
      <w:r>
        <w:rPr>
          <w:lang w:val="id-ID"/>
        </w:rPr>
        <w:t>HASIL DAN PEMBAHASAN</w:t>
      </w:r>
      <w:commentRangeEnd w:id="8"/>
      <w:r w:rsidR="00311438">
        <w:rPr>
          <w:rStyle w:val="CommentReference"/>
          <w:sz w:val="24"/>
          <w:szCs w:val="24"/>
        </w:rPr>
        <w:commentReference w:id="8"/>
      </w:r>
    </w:p>
    <w:p w14:paraId="42A866DA" w14:textId="77777777" w:rsidR="00D24FD8" w:rsidRPr="00B25774" w:rsidRDefault="00D24FD8" w:rsidP="00D24FD8">
      <w:pPr>
        <w:pStyle w:val="Addresses"/>
        <w:spacing w:line="240" w:lineRule="auto"/>
        <w:jc w:val="left"/>
        <w:rPr>
          <w:color w:val="FF0000"/>
        </w:rPr>
      </w:pPr>
    </w:p>
    <w:p w14:paraId="196542CD" w14:textId="199BB701" w:rsidR="00FB4950" w:rsidRDefault="00EA728B" w:rsidP="00800CFF">
      <w:pPr>
        <w:spacing w:line="240" w:lineRule="auto"/>
        <w:ind w:firstLine="720"/>
      </w:pPr>
      <w:r w:rsidRPr="00EA728B">
        <w:rPr>
          <w:szCs w:val="24"/>
        </w:rPr>
        <w:t>Selama periode penelitian</w:t>
      </w:r>
      <w:r w:rsidR="00C37CFA">
        <w:rPr>
          <w:szCs w:val="24"/>
        </w:rPr>
        <w:t>,</w:t>
      </w:r>
      <w:r w:rsidRPr="00EA728B">
        <w:rPr>
          <w:szCs w:val="24"/>
        </w:rPr>
        <w:t xml:space="preserve"> diperoleh 33 pasien sepsis neonatus yang dirawat di NICU RSUD Haji Provinsi Jawa Timur yang memenuhi kriteria inklusi. </w:t>
      </w:r>
      <w:r w:rsidR="00800CFF">
        <w:t>Hasil pengamatan tercantum dalam Tabel 1</w:t>
      </w:r>
      <w:r w:rsidR="00C37CFA">
        <w:t>. Berdasarkan</w:t>
      </w:r>
      <w:r w:rsidR="00800CFF">
        <w:t xml:space="preserve"> </w:t>
      </w:r>
      <w:r w:rsidRPr="00EA728B">
        <w:rPr>
          <w:szCs w:val="24"/>
        </w:rPr>
        <w:t xml:space="preserve">jenis kelamin, pasien sepsis neonatus laki-laki lebih banyak </w:t>
      </w:r>
      <w:r w:rsidR="00C37CFA">
        <w:rPr>
          <w:szCs w:val="24"/>
        </w:rPr>
        <w:t>(</w:t>
      </w:r>
      <w:r w:rsidRPr="00EA728B">
        <w:rPr>
          <w:szCs w:val="24"/>
        </w:rPr>
        <w:t>63,64%</w:t>
      </w:r>
      <w:r w:rsidR="00C37CFA">
        <w:rPr>
          <w:szCs w:val="24"/>
        </w:rPr>
        <w:t>),</w:t>
      </w:r>
      <w:r w:rsidRPr="00EA728B">
        <w:rPr>
          <w:szCs w:val="24"/>
        </w:rPr>
        <w:t xml:space="preserve"> sedangkan perempuan </w:t>
      </w:r>
      <w:r w:rsidR="00C37CFA">
        <w:rPr>
          <w:szCs w:val="24"/>
        </w:rPr>
        <w:t>(</w:t>
      </w:r>
      <w:r w:rsidRPr="00EA728B">
        <w:rPr>
          <w:szCs w:val="24"/>
        </w:rPr>
        <w:t>36,36%</w:t>
      </w:r>
      <w:r w:rsidR="00C37CFA">
        <w:rPr>
          <w:szCs w:val="24"/>
        </w:rPr>
        <w:t>)</w:t>
      </w:r>
      <w:r w:rsidRPr="00EA728B">
        <w:rPr>
          <w:szCs w:val="24"/>
        </w:rPr>
        <w:t xml:space="preserve">. </w:t>
      </w:r>
      <w:commentRangeStart w:id="9"/>
      <w:r w:rsidR="00800CFF">
        <w:t>Hasil</w:t>
      </w:r>
      <w:r w:rsidR="00800CFF" w:rsidRPr="001E4778">
        <w:t xml:space="preserve"> ini sejalan dengan penelitian sebelumnya </w:t>
      </w:r>
      <w:r w:rsidR="00800CFF">
        <w:t xml:space="preserve">yang dilakukan di RSUD Surakarta </w:t>
      </w:r>
      <w:r w:rsidR="00C37CFA">
        <w:t>tahun 2012 dan di RSAL DR. Ramelan tahun 2011 bahwa sepsis pada neonatus lebih rentan</w:t>
      </w:r>
      <w:r w:rsidR="00800CFF">
        <w:t xml:space="preserve"> </w:t>
      </w:r>
      <w:commentRangeEnd w:id="9"/>
      <w:r w:rsidR="00311438">
        <w:rPr>
          <w:rStyle w:val="CommentReference"/>
          <w:sz w:val="24"/>
          <w:szCs w:val="20"/>
        </w:rPr>
        <w:lastRenderedPageBreak/>
        <w:commentReference w:id="9"/>
      </w:r>
      <w:r w:rsidR="00800CFF">
        <w:t xml:space="preserve">terjadi pada jenis kelamin </w:t>
      </w:r>
      <w:r w:rsidR="00800CFF" w:rsidRPr="001E4778">
        <w:t xml:space="preserve">laki-laki akibat faktor genetik dan imunitas, terutama terkait peran kromosom X dengan mekanisme pertahanan tubuh </w:t>
      </w:r>
      <w:r w:rsidR="00800CFF" w:rsidRPr="00FB4950">
        <w:rPr>
          <w:highlight w:val="yellow"/>
        </w:rPr>
        <w:t>(Kariniotaki dkk., 2024).</w:t>
      </w:r>
      <w:r w:rsidR="00800CFF" w:rsidRPr="001E4778">
        <w:t xml:space="preserve"> </w:t>
      </w:r>
    </w:p>
    <w:p w14:paraId="517E88D8" w14:textId="05C86434" w:rsidR="00EA728B" w:rsidRPr="00800CFF" w:rsidRDefault="00FB4950" w:rsidP="00800CFF">
      <w:pPr>
        <w:spacing w:line="240" w:lineRule="auto"/>
        <w:ind w:firstLine="720"/>
        <w:rPr>
          <w:b/>
          <w:bCs/>
        </w:rPr>
      </w:pPr>
      <w:r>
        <w:rPr>
          <w:szCs w:val="24"/>
        </w:rPr>
        <w:t>Berdasarkan</w:t>
      </w:r>
      <w:r w:rsidR="00EA728B" w:rsidRPr="00EA728B">
        <w:rPr>
          <w:szCs w:val="24"/>
        </w:rPr>
        <w:t xml:space="preserve"> berat badan lahir, sebagian besar pasien tergolong berat badan lahir rendah (BBLR) (&lt;2500 gram)</w:t>
      </w:r>
      <w:r w:rsidR="00C37CFA">
        <w:rPr>
          <w:szCs w:val="24"/>
        </w:rPr>
        <w:t>,</w:t>
      </w:r>
      <w:r w:rsidR="00EA728B" w:rsidRPr="00EA728B">
        <w:rPr>
          <w:szCs w:val="24"/>
        </w:rPr>
        <w:t xml:space="preserve"> yaitu 18 pasien (54,55%), sementara neonatus dengan BBLC (≥2500 gram) sebanyak 15 pasien (45,45%). </w:t>
      </w:r>
      <w:r w:rsidR="00800CFF" w:rsidRPr="001E4778">
        <w:t xml:space="preserve">Neonatus dengan BBLR diketahui lebih rentan mengalami sepsis </w:t>
      </w:r>
      <w:r w:rsidR="00800CFF">
        <w:t xml:space="preserve">yang dipengaruhi </w:t>
      </w:r>
      <w:r>
        <w:t xml:space="preserve">oleh </w:t>
      </w:r>
      <w:r w:rsidR="00800CFF">
        <w:t xml:space="preserve">imaturitas sistem imun dan </w:t>
      </w:r>
      <w:r w:rsidR="00800CFF" w:rsidRPr="001E4778">
        <w:t xml:space="preserve">ketidakmatangan </w:t>
      </w:r>
      <w:r w:rsidR="00800CFF">
        <w:t xml:space="preserve">fungsi organ. Studi </w:t>
      </w:r>
      <w:r w:rsidR="00800CFF" w:rsidRPr="00FB4950">
        <w:t xml:space="preserve">Belachew </w:t>
      </w:r>
      <w:r w:rsidRPr="00FB4950">
        <w:rPr>
          <w:i/>
          <w:iCs/>
        </w:rPr>
        <w:t>et al</w:t>
      </w:r>
      <w:r w:rsidR="00800CFF" w:rsidRPr="00FB4950">
        <w:t xml:space="preserve">. </w:t>
      </w:r>
      <w:r w:rsidRPr="00FB4950">
        <w:t>(2020)</w:t>
      </w:r>
      <w:r w:rsidR="00800CFF" w:rsidRPr="001E4778">
        <w:t xml:space="preserve"> melaporkan bahwa BBLR berhubungan erat dengan tingginya insidensi sepsis neonatus dan luaran klinis yang lebih buruk. </w:t>
      </w:r>
      <w:r w:rsidR="00EA728B" w:rsidRPr="00EA728B">
        <w:rPr>
          <w:szCs w:val="24"/>
        </w:rPr>
        <w:t xml:space="preserve">Dari sisi onset sepsis, mayoritas pasien mengalami sepsis onset dini (EOS) yaitu 26 pasien (78,79%), sementara late onset sepsis (LOS) hanya ditemukan pada 7 pasien (21,21%). </w:t>
      </w:r>
      <w:r w:rsidR="00800CFF" w:rsidRPr="001E4778">
        <w:t xml:space="preserve">Dominasi  </w:t>
      </w:r>
      <w:r w:rsidR="00800CFF" w:rsidRPr="000E0F0B">
        <w:t>sepsis onset dini</w:t>
      </w:r>
      <w:r w:rsidR="00800CFF">
        <w:t xml:space="preserve"> </w:t>
      </w:r>
      <w:r w:rsidR="00800CFF" w:rsidRPr="001E4778">
        <w:t>menegaskan peran penting faktor perinatal dalam menimbulkan infeksi</w:t>
      </w:r>
      <w:r>
        <w:t>. Hal</w:t>
      </w:r>
      <w:r w:rsidR="00800CFF">
        <w:t xml:space="preserve"> ini </w:t>
      </w:r>
      <w:r w:rsidR="00800CFF" w:rsidRPr="001E4778">
        <w:t>sejalan dengan</w:t>
      </w:r>
      <w:r w:rsidR="00800CFF">
        <w:t xml:space="preserve"> penelitian. Stocker </w:t>
      </w:r>
      <w:r w:rsidRPr="00FB4950">
        <w:rPr>
          <w:i/>
          <w:iCs/>
        </w:rPr>
        <w:t>et al</w:t>
      </w:r>
      <w:r w:rsidR="00800CFF">
        <w:t xml:space="preserve">. </w:t>
      </w:r>
      <w:r>
        <w:t>(2024) menyebutkan bahwa sebagian besar sepsis pada neonatus berawal dari transmisi bakteri pada</w:t>
      </w:r>
      <w:r w:rsidR="00800CFF">
        <w:t xml:space="preserve"> </w:t>
      </w:r>
      <w:r w:rsidR="00800CFF" w:rsidRPr="001E4778">
        <w:t xml:space="preserve">periode perinatal. Pemberian antibiotik empiris yang cepat dan tepat pada kelompok </w:t>
      </w:r>
      <w:r w:rsidR="00800CFF" w:rsidRPr="000E0F0B">
        <w:t>sepsis onset dini</w:t>
      </w:r>
      <w:r w:rsidR="00800CFF">
        <w:t xml:space="preserve"> </w:t>
      </w:r>
      <w:r w:rsidR="00800CFF" w:rsidRPr="000E0F0B">
        <w:t>t</w:t>
      </w:r>
      <w:r w:rsidR="00800CFF" w:rsidRPr="001E4778">
        <w:t xml:space="preserve">erbukti dapat menurunkan mortalitas dan komplikasi. </w:t>
      </w:r>
    </w:p>
    <w:p w14:paraId="7E54A387" w14:textId="77777777" w:rsidR="00D24FD8" w:rsidRPr="00E263BD" w:rsidRDefault="00D24FD8" w:rsidP="00D24FD8">
      <w:pPr>
        <w:pStyle w:val="Addresses"/>
        <w:spacing w:line="240" w:lineRule="auto"/>
        <w:jc w:val="left"/>
        <w:rPr>
          <w:i w:val="0"/>
          <w:color w:val="FF0000"/>
          <w:szCs w:val="24"/>
        </w:rPr>
      </w:pPr>
    </w:p>
    <w:p w14:paraId="101262D0" w14:textId="2CB75F19" w:rsidR="00D24FD8" w:rsidRPr="00867500" w:rsidRDefault="00D24FD8" w:rsidP="00FB4950">
      <w:pPr>
        <w:pStyle w:val="Addresses"/>
        <w:spacing w:line="240" w:lineRule="auto"/>
        <w:jc w:val="both"/>
        <w:rPr>
          <w:i w:val="0"/>
        </w:rPr>
      </w:pPr>
      <w:r w:rsidRPr="00800CFF">
        <w:rPr>
          <w:b/>
          <w:bCs/>
          <w:i w:val="0"/>
        </w:rPr>
        <w:t xml:space="preserve">Tabel 1 </w:t>
      </w:r>
      <w:r w:rsidR="00EA728B" w:rsidRPr="00800CFF">
        <w:rPr>
          <w:b/>
          <w:bCs/>
          <w:i w:val="0"/>
        </w:rPr>
        <w:t>Karakteristik Pasien</w:t>
      </w:r>
      <w:r w:rsidR="00EA728B">
        <w:rPr>
          <w:i w:val="0"/>
        </w:rPr>
        <w:t xml:space="preserve"> </w:t>
      </w:r>
    </w:p>
    <w:tbl>
      <w:tblPr>
        <w:tblW w:w="4168"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758"/>
        <w:gridCol w:w="993"/>
        <w:gridCol w:w="1417"/>
      </w:tblGrid>
      <w:tr w:rsidR="00EA728B" w:rsidRPr="00F6054E" w14:paraId="2899EF53" w14:textId="77777777" w:rsidTr="00EA728B">
        <w:trPr>
          <w:trHeight w:val="261"/>
        </w:trPr>
        <w:tc>
          <w:tcPr>
            <w:tcW w:w="1758" w:type="dxa"/>
            <w:vMerge w:val="restart"/>
            <w:tcBorders>
              <w:top w:val="single" w:sz="4" w:space="0" w:color="auto"/>
              <w:bottom w:val="single" w:sz="4" w:space="0" w:color="auto"/>
            </w:tcBorders>
            <w:vAlign w:val="center"/>
          </w:tcPr>
          <w:p w14:paraId="4E036DBB" w14:textId="77777777" w:rsidR="00EA728B" w:rsidRPr="00EA728B" w:rsidRDefault="00EA728B" w:rsidP="001D1819">
            <w:pPr>
              <w:spacing w:line="240" w:lineRule="auto"/>
              <w:jc w:val="center"/>
              <w:rPr>
                <w:sz w:val="20"/>
              </w:rPr>
            </w:pPr>
            <w:r w:rsidRPr="00EA728B">
              <w:rPr>
                <w:sz w:val="20"/>
              </w:rPr>
              <w:t xml:space="preserve">Karakteristik </w:t>
            </w:r>
          </w:p>
        </w:tc>
        <w:tc>
          <w:tcPr>
            <w:tcW w:w="2410" w:type="dxa"/>
            <w:gridSpan w:val="2"/>
            <w:tcBorders>
              <w:top w:val="single" w:sz="4" w:space="0" w:color="auto"/>
              <w:bottom w:val="single" w:sz="4" w:space="0" w:color="auto"/>
            </w:tcBorders>
            <w:vAlign w:val="center"/>
          </w:tcPr>
          <w:p w14:paraId="74958EF3" w14:textId="77777777" w:rsidR="00EA728B" w:rsidRPr="00EA728B" w:rsidRDefault="00EA728B" w:rsidP="001D1819">
            <w:pPr>
              <w:spacing w:line="240" w:lineRule="auto"/>
              <w:jc w:val="center"/>
              <w:rPr>
                <w:sz w:val="20"/>
              </w:rPr>
            </w:pPr>
            <w:r w:rsidRPr="00EA728B">
              <w:rPr>
                <w:i/>
                <w:sz w:val="20"/>
              </w:rPr>
              <w:t>n = 33</w:t>
            </w:r>
          </w:p>
        </w:tc>
      </w:tr>
      <w:tr w:rsidR="00EA728B" w:rsidRPr="00F6054E" w14:paraId="29D82906" w14:textId="77777777" w:rsidTr="00EA728B">
        <w:trPr>
          <w:trHeight w:val="208"/>
        </w:trPr>
        <w:tc>
          <w:tcPr>
            <w:tcW w:w="1758" w:type="dxa"/>
            <w:vMerge/>
            <w:tcBorders>
              <w:top w:val="nil"/>
              <w:bottom w:val="single" w:sz="4" w:space="0" w:color="auto"/>
            </w:tcBorders>
          </w:tcPr>
          <w:p w14:paraId="347EFE1F" w14:textId="77777777" w:rsidR="00EA728B" w:rsidRPr="00EA728B" w:rsidRDefault="00EA728B" w:rsidP="001D1819">
            <w:pPr>
              <w:spacing w:line="240" w:lineRule="auto"/>
              <w:rPr>
                <w:sz w:val="20"/>
              </w:rPr>
            </w:pPr>
          </w:p>
        </w:tc>
        <w:tc>
          <w:tcPr>
            <w:tcW w:w="993" w:type="dxa"/>
            <w:tcBorders>
              <w:top w:val="single" w:sz="4" w:space="0" w:color="auto"/>
              <w:bottom w:val="single" w:sz="4" w:space="0" w:color="auto"/>
            </w:tcBorders>
          </w:tcPr>
          <w:p w14:paraId="06E7C33B" w14:textId="77777777" w:rsidR="00EA728B" w:rsidRPr="00EA728B" w:rsidRDefault="00EA728B" w:rsidP="001D1819">
            <w:pPr>
              <w:spacing w:line="240" w:lineRule="auto"/>
              <w:jc w:val="center"/>
              <w:rPr>
                <w:sz w:val="20"/>
              </w:rPr>
            </w:pPr>
            <w:r w:rsidRPr="00EA728B">
              <w:rPr>
                <w:sz w:val="20"/>
              </w:rPr>
              <w:t>Jumlah (n)</w:t>
            </w:r>
          </w:p>
        </w:tc>
        <w:tc>
          <w:tcPr>
            <w:tcW w:w="1417" w:type="dxa"/>
            <w:tcBorders>
              <w:top w:val="single" w:sz="4" w:space="0" w:color="auto"/>
              <w:bottom w:val="single" w:sz="4" w:space="0" w:color="auto"/>
            </w:tcBorders>
          </w:tcPr>
          <w:p w14:paraId="04396B5B" w14:textId="77777777" w:rsidR="00EA728B" w:rsidRPr="00EA728B" w:rsidRDefault="00EA728B" w:rsidP="001D1819">
            <w:pPr>
              <w:spacing w:line="240" w:lineRule="auto"/>
              <w:jc w:val="center"/>
              <w:rPr>
                <w:sz w:val="20"/>
              </w:rPr>
            </w:pPr>
            <w:r w:rsidRPr="00EA728B">
              <w:rPr>
                <w:sz w:val="20"/>
              </w:rPr>
              <w:t>Presentase (%)</w:t>
            </w:r>
          </w:p>
        </w:tc>
      </w:tr>
      <w:tr w:rsidR="00EA728B" w:rsidRPr="00F6054E" w14:paraId="4215A400" w14:textId="77777777" w:rsidTr="00EA728B">
        <w:trPr>
          <w:trHeight w:val="261"/>
        </w:trPr>
        <w:tc>
          <w:tcPr>
            <w:tcW w:w="1758" w:type="dxa"/>
            <w:tcBorders>
              <w:top w:val="nil"/>
            </w:tcBorders>
          </w:tcPr>
          <w:p w14:paraId="64AA9009" w14:textId="77777777" w:rsidR="00EA728B" w:rsidRPr="00EA728B" w:rsidRDefault="00EA728B" w:rsidP="00EA728B">
            <w:pPr>
              <w:spacing w:line="240" w:lineRule="auto"/>
              <w:jc w:val="center"/>
              <w:rPr>
                <w:sz w:val="20"/>
              </w:rPr>
            </w:pPr>
            <w:r w:rsidRPr="00EA728B">
              <w:rPr>
                <w:sz w:val="20"/>
              </w:rPr>
              <w:t>Jenis kelamin</w:t>
            </w:r>
          </w:p>
        </w:tc>
        <w:tc>
          <w:tcPr>
            <w:tcW w:w="993" w:type="dxa"/>
            <w:tcBorders>
              <w:top w:val="nil"/>
            </w:tcBorders>
          </w:tcPr>
          <w:p w14:paraId="7E64A6B2" w14:textId="77777777" w:rsidR="00EA728B" w:rsidRPr="00EA728B" w:rsidRDefault="00EA728B" w:rsidP="001D1819">
            <w:pPr>
              <w:spacing w:line="240" w:lineRule="auto"/>
              <w:jc w:val="center"/>
              <w:rPr>
                <w:sz w:val="20"/>
              </w:rPr>
            </w:pPr>
          </w:p>
        </w:tc>
        <w:tc>
          <w:tcPr>
            <w:tcW w:w="1417" w:type="dxa"/>
            <w:tcBorders>
              <w:top w:val="nil"/>
            </w:tcBorders>
          </w:tcPr>
          <w:p w14:paraId="765BFD69" w14:textId="77777777" w:rsidR="00EA728B" w:rsidRPr="00EA728B" w:rsidRDefault="00EA728B" w:rsidP="001D1819">
            <w:pPr>
              <w:spacing w:line="240" w:lineRule="auto"/>
              <w:jc w:val="center"/>
              <w:rPr>
                <w:sz w:val="20"/>
              </w:rPr>
            </w:pPr>
          </w:p>
        </w:tc>
      </w:tr>
      <w:tr w:rsidR="00EA728B" w:rsidRPr="00F6054E" w14:paraId="052446EC" w14:textId="77777777" w:rsidTr="00EA728B">
        <w:trPr>
          <w:trHeight w:val="261"/>
        </w:trPr>
        <w:tc>
          <w:tcPr>
            <w:tcW w:w="1758" w:type="dxa"/>
          </w:tcPr>
          <w:p w14:paraId="53415B68" w14:textId="77777777" w:rsidR="00EA728B" w:rsidRPr="00EA728B" w:rsidRDefault="00EA728B" w:rsidP="00EA728B">
            <w:pPr>
              <w:spacing w:line="240" w:lineRule="auto"/>
              <w:jc w:val="center"/>
              <w:rPr>
                <w:sz w:val="20"/>
              </w:rPr>
            </w:pPr>
            <w:r w:rsidRPr="00EA728B">
              <w:rPr>
                <w:sz w:val="20"/>
              </w:rPr>
              <w:t>Laki-laki</w:t>
            </w:r>
          </w:p>
        </w:tc>
        <w:tc>
          <w:tcPr>
            <w:tcW w:w="993" w:type="dxa"/>
          </w:tcPr>
          <w:p w14:paraId="0D5C8298" w14:textId="77777777" w:rsidR="00EA728B" w:rsidRPr="00EA728B" w:rsidRDefault="00EA728B" w:rsidP="001D1819">
            <w:pPr>
              <w:spacing w:line="240" w:lineRule="auto"/>
              <w:jc w:val="center"/>
              <w:rPr>
                <w:sz w:val="20"/>
              </w:rPr>
            </w:pPr>
            <w:r w:rsidRPr="00EA728B">
              <w:rPr>
                <w:sz w:val="20"/>
              </w:rPr>
              <w:t>21</w:t>
            </w:r>
          </w:p>
        </w:tc>
        <w:tc>
          <w:tcPr>
            <w:tcW w:w="1417" w:type="dxa"/>
          </w:tcPr>
          <w:p w14:paraId="310AC495" w14:textId="77777777" w:rsidR="00EA728B" w:rsidRPr="00EA728B" w:rsidRDefault="00EA728B" w:rsidP="001D1819">
            <w:pPr>
              <w:spacing w:line="240" w:lineRule="auto"/>
              <w:jc w:val="center"/>
              <w:rPr>
                <w:sz w:val="20"/>
              </w:rPr>
            </w:pPr>
            <w:r w:rsidRPr="00EA728B">
              <w:rPr>
                <w:sz w:val="20"/>
              </w:rPr>
              <w:t>63,64</w:t>
            </w:r>
          </w:p>
        </w:tc>
      </w:tr>
      <w:tr w:rsidR="00EA728B" w:rsidRPr="00F6054E" w14:paraId="18A35DF6" w14:textId="77777777" w:rsidTr="00EA728B">
        <w:trPr>
          <w:trHeight w:val="261"/>
        </w:trPr>
        <w:tc>
          <w:tcPr>
            <w:tcW w:w="1758" w:type="dxa"/>
          </w:tcPr>
          <w:p w14:paraId="5BC18773" w14:textId="77777777" w:rsidR="00EA728B" w:rsidRPr="00EA728B" w:rsidRDefault="00EA728B" w:rsidP="00EA728B">
            <w:pPr>
              <w:spacing w:line="240" w:lineRule="auto"/>
              <w:jc w:val="center"/>
              <w:rPr>
                <w:sz w:val="20"/>
              </w:rPr>
            </w:pPr>
            <w:r w:rsidRPr="00EA728B">
              <w:rPr>
                <w:sz w:val="20"/>
              </w:rPr>
              <w:t>Perempuan</w:t>
            </w:r>
          </w:p>
        </w:tc>
        <w:tc>
          <w:tcPr>
            <w:tcW w:w="993" w:type="dxa"/>
          </w:tcPr>
          <w:p w14:paraId="2A763E11" w14:textId="77777777" w:rsidR="00EA728B" w:rsidRPr="00EA728B" w:rsidRDefault="00EA728B" w:rsidP="001D1819">
            <w:pPr>
              <w:spacing w:line="240" w:lineRule="auto"/>
              <w:jc w:val="center"/>
              <w:rPr>
                <w:sz w:val="20"/>
              </w:rPr>
            </w:pPr>
            <w:r w:rsidRPr="00EA728B">
              <w:rPr>
                <w:sz w:val="20"/>
              </w:rPr>
              <w:t>12</w:t>
            </w:r>
          </w:p>
        </w:tc>
        <w:tc>
          <w:tcPr>
            <w:tcW w:w="1417" w:type="dxa"/>
          </w:tcPr>
          <w:p w14:paraId="1537CC40" w14:textId="77777777" w:rsidR="00EA728B" w:rsidRPr="00EA728B" w:rsidRDefault="00EA728B" w:rsidP="001D1819">
            <w:pPr>
              <w:spacing w:line="240" w:lineRule="auto"/>
              <w:jc w:val="center"/>
              <w:rPr>
                <w:sz w:val="20"/>
              </w:rPr>
            </w:pPr>
            <w:r w:rsidRPr="00EA728B">
              <w:rPr>
                <w:sz w:val="20"/>
              </w:rPr>
              <w:t>36,36</w:t>
            </w:r>
          </w:p>
        </w:tc>
      </w:tr>
      <w:tr w:rsidR="00EA728B" w:rsidRPr="00F6054E" w14:paraId="18CD9461" w14:textId="77777777" w:rsidTr="00EA728B">
        <w:trPr>
          <w:trHeight w:val="276"/>
        </w:trPr>
        <w:tc>
          <w:tcPr>
            <w:tcW w:w="1758" w:type="dxa"/>
          </w:tcPr>
          <w:p w14:paraId="4E586E5F" w14:textId="77777777" w:rsidR="00EA728B" w:rsidRPr="00EA728B" w:rsidRDefault="00EA728B" w:rsidP="00EA728B">
            <w:pPr>
              <w:spacing w:line="240" w:lineRule="auto"/>
              <w:jc w:val="center"/>
              <w:rPr>
                <w:sz w:val="20"/>
              </w:rPr>
            </w:pPr>
            <w:r w:rsidRPr="00EA728B">
              <w:rPr>
                <w:sz w:val="20"/>
              </w:rPr>
              <w:t>Berat Badan Bayi</w:t>
            </w:r>
          </w:p>
        </w:tc>
        <w:tc>
          <w:tcPr>
            <w:tcW w:w="993" w:type="dxa"/>
          </w:tcPr>
          <w:p w14:paraId="318F21B5" w14:textId="77777777" w:rsidR="00EA728B" w:rsidRPr="00EA728B" w:rsidRDefault="00EA728B" w:rsidP="001D1819">
            <w:pPr>
              <w:tabs>
                <w:tab w:val="left" w:pos="519"/>
              </w:tabs>
              <w:spacing w:line="240" w:lineRule="auto"/>
              <w:ind w:right="240"/>
              <w:jc w:val="center"/>
              <w:rPr>
                <w:sz w:val="20"/>
              </w:rPr>
            </w:pPr>
          </w:p>
        </w:tc>
        <w:tc>
          <w:tcPr>
            <w:tcW w:w="1417" w:type="dxa"/>
          </w:tcPr>
          <w:p w14:paraId="5B0CE582" w14:textId="77777777" w:rsidR="00EA728B" w:rsidRPr="00EA728B" w:rsidRDefault="00EA728B" w:rsidP="001D1819">
            <w:pPr>
              <w:spacing w:line="240" w:lineRule="auto"/>
              <w:jc w:val="center"/>
              <w:rPr>
                <w:sz w:val="20"/>
              </w:rPr>
            </w:pPr>
          </w:p>
        </w:tc>
      </w:tr>
      <w:tr w:rsidR="00EA728B" w:rsidRPr="00F6054E" w14:paraId="65B0490E" w14:textId="77777777" w:rsidTr="00EA728B">
        <w:trPr>
          <w:trHeight w:val="261"/>
        </w:trPr>
        <w:tc>
          <w:tcPr>
            <w:tcW w:w="1758" w:type="dxa"/>
          </w:tcPr>
          <w:p w14:paraId="21C21326" w14:textId="77777777" w:rsidR="00EA728B" w:rsidRPr="00EA728B" w:rsidRDefault="00EA728B" w:rsidP="00EA728B">
            <w:pPr>
              <w:spacing w:line="240" w:lineRule="auto"/>
              <w:jc w:val="center"/>
              <w:rPr>
                <w:sz w:val="20"/>
              </w:rPr>
            </w:pPr>
            <w:r w:rsidRPr="00EA728B">
              <w:rPr>
                <w:sz w:val="20"/>
              </w:rPr>
              <w:t>BBLR(&lt;2500grm)</w:t>
            </w:r>
          </w:p>
        </w:tc>
        <w:tc>
          <w:tcPr>
            <w:tcW w:w="993" w:type="dxa"/>
          </w:tcPr>
          <w:p w14:paraId="2D655E57" w14:textId="77777777" w:rsidR="00EA728B" w:rsidRPr="00EA728B" w:rsidRDefault="00EA728B" w:rsidP="001D1819">
            <w:pPr>
              <w:spacing w:line="240" w:lineRule="auto"/>
              <w:jc w:val="center"/>
              <w:rPr>
                <w:sz w:val="20"/>
              </w:rPr>
            </w:pPr>
            <w:r w:rsidRPr="00EA728B">
              <w:rPr>
                <w:sz w:val="20"/>
              </w:rPr>
              <w:t>18</w:t>
            </w:r>
          </w:p>
        </w:tc>
        <w:tc>
          <w:tcPr>
            <w:tcW w:w="1417" w:type="dxa"/>
          </w:tcPr>
          <w:p w14:paraId="24E0F8AA" w14:textId="77777777" w:rsidR="00EA728B" w:rsidRPr="00EA728B" w:rsidRDefault="00EA728B" w:rsidP="001D1819">
            <w:pPr>
              <w:spacing w:line="240" w:lineRule="auto"/>
              <w:jc w:val="center"/>
              <w:rPr>
                <w:sz w:val="20"/>
              </w:rPr>
            </w:pPr>
            <w:r w:rsidRPr="00EA728B">
              <w:rPr>
                <w:sz w:val="20"/>
              </w:rPr>
              <w:t>54,55</w:t>
            </w:r>
          </w:p>
        </w:tc>
      </w:tr>
      <w:tr w:rsidR="00EA728B" w:rsidRPr="00F6054E" w14:paraId="48A2E080" w14:textId="77777777" w:rsidTr="00EA728B">
        <w:trPr>
          <w:trHeight w:val="261"/>
        </w:trPr>
        <w:tc>
          <w:tcPr>
            <w:tcW w:w="1758" w:type="dxa"/>
            <w:vAlign w:val="center"/>
          </w:tcPr>
          <w:p w14:paraId="36EF79E0" w14:textId="77777777" w:rsidR="00EA728B" w:rsidRPr="00EA728B" w:rsidRDefault="00EA728B" w:rsidP="00EA728B">
            <w:pPr>
              <w:spacing w:line="240" w:lineRule="auto"/>
              <w:jc w:val="center"/>
              <w:rPr>
                <w:sz w:val="20"/>
              </w:rPr>
            </w:pPr>
            <w:r w:rsidRPr="00EA728B">
              <w:rPr>
                <w:sz w:val="20"/>
              </w:rPr>
              <w:t>BBLC (&gt;2500grm)</w:t>
            </w:r>
          </w:p>
        </w:tc>
        <w:tc>
          <w:tcPr>
            <w:tcW w:w="993" w:type="dxa"/>
          </w:tcPr>
          <w:p w14:paraId="1C234D69" w14:textId="77777777" w:rsidR="00EA728B" w:rsidRPr="00EA728B" w:rsidRDefault="00EA728B" w:rsidP="001D1819">
            <w:pPr>
              <w:spacing w:line="240" w:lineRule="auto"/>
              <w:jc w:val="center"/>
              <w:rPr>
                <w:sz w:val="20"/>
              </w:rPr>
            </w:pPr>
            <w:r w:rsidRPr="00EA728B">
              <w:rPr>
                <w:sz w:val="20"/>
              </w:rPr>
              <w:t>15</w:t>
            </w:r>
          </w:p>
        </w:tc>
        <w:tc>
          <w:tcPr>
            <w:tcW w:w="1417" w:type="dxa"/>
          </w:tcPr>
          <w:p w14:paraId="115D701E" w14:textId="77777777" w:rsidR="00EA728B" w:rsidRPr="00EA728B" w:rsidRDefault="00EA728B" w:rsidP="001D1819">
            <w:pPr>
              <w:spacing w:line="240" w:lineRule="auto"/>
              <w:jc w:val="center"/>
              <w:rPr>
                <w:sz w:val="20"/>
              </w:rPr>
            </w:pPr>
            <w:r w:rsidRPr="00EA728B">
              <w:rPr>
                <w:sz w:val="20"/>
              </w:rPr>
              <w:t>45,45</w:t>
            </w:r>
          </w:p>
        </w:tc>
      </w:tr>
      <w:tr w:rsidR="00EA728B" w:rsidRPr="00F6054E" w14:paraId="4CAEB6D9" w14:textId="77777777" w:rsidTr="00EA728B">
        <w:trPr>
          <w:trHeight w:val="261"/>
        </w:trPr>
        <w:tc>
          <w:tcPr>
            <w:tcW w:w="1758" w:type="dxa"/>
          </w:tcPr>
          <w:p w14:paraId="2B8B71C8" w14:textId="77777777" w:rsidR="00EA728B" w:rsidRPr="00EA728B" w:rsidRDefault="00EA728B" w:rsidP="00EA728B">
            <w:pPr>
              <w:spacing w:line="240" w:lineRule="auto"/>
              <w:jc w:val="center"/>
              <w:rPr>
                <w:sz w:val="20"/>
              </w:rPr>
            </w:pPr>
            <w:r w:rsidRPr="00EA728B">
              <w:rPr>
                <w:sz w:val="20"/>
              </w:rPr>
              <w:t>Sepsis Onset</w:t>
            </w:r>
          </w:p>
        </w:tc>
        <w:tc>
          <w:tcPr>
            <w:tcW w:w="993" w:type="dxa"/>
          </w:tcPr>
          <w:p w14:paraId="1F98D2FC" w14:textId="77777777" w:rsidR="00EA728B" w:rsidRPr="00EA728B" w:rsidRDefault="00EA728B" w:rsidP="001D1819">
            <w:pPr>
              <w:spacing w:line="240" w:lineRule="auto"/>
              <w:jc w:val="center"/>
              <w:rPr>
                <w:sz w:val="20"/>
              </w:rPr>
            </w:pPr>
          </w:p>
        </w:tc>
        <w:tc>
          <w:tcPr>
            <w:tcW w:w="1417" w:type="dxa"/>
          </w:tcPr>
          <w:p w14:paraId="44E2D268" w14:textId="77777777" w:rsidR="00EA728B" w:rsidRPr="00EA728B" w:rsidRDefault="00EA728B" w:rsidP="001D1819">
            <w:pPr>
              <w:spacing w:line="240" w:lineRule="auto"/>
              <w:jc w:val="center"/>
              <w:rPr>
                <w:sz w:val="20"/>
              </w:rPr>
            </w:pPr>
          </w:p>
        </w:tc>
      </w:tr>
      <w:tr w:rsidR="00EA728B" w:rsidRPr="00F6054E" w14:paraId="7DC9B1DA" w14:textId="77777777" w:rsidTr="00EA728B">
        <w:trPr>
          <w:trHeight w:val="276"/>
        </w:trPr>
        <w:tc>
          <w:tcPr>
            <w:tcW w:w="1758" w:type="dxa"/>
          </w:tcPr>
          <w:p w14:paraId="65A97F37" w14:textId="77777777" w:rsidR="00EA728B" w:rsidRPr="00EA728B" w:rsidRDefault="00EA728B" w:rsidP="00EA728B">
            <w:pPr>
              <w:spacing w:line="240" w:lineRule="auto"/>
              <w:jc w:val="center"/>
              <w:rPr>
                <w:sz w:val="20"/>
              </w:rPr>
            </w:pPr>
            <w:r w:rsidRPr="00EA728B">
              <w:rPr>
                <w:sz w:val="20"/>
              </w:rPr>
              <w:t>EOS</w:t>
            </w:r>
          </w:p>
        </w:tc>
        <w:tc>
          <w:tcPr>
            <w:tcW w:w="993" w:type="dxa"/>
          </w:tcPr>
          <w:p w14:paraId="32825FC3" w14:textId="77777777" w:rsidR="00EA728B" w:rsidRPr="00EA728B" w:rsidRDefault="00EA728B" w:rsidP="001D1819">
            <w:pPr>
              <w:spacing w:line="240" w:lineRule="auto"/>
              <w:jc w:val="center"/>
              <w:rPr>
                <w:sz w:val="20"/>
              </w:rPr>
            </w:pPr>
            <w:r w:rsidRPr="00EA728B">
              <w:rPr>
                <w:sz w:val="20"/>
              </w:rPr>
              <w:t>26</w:t>
            </w:r>
          </w:p>
        </w:tc>
        <w:tc>
          <w:tcPr>
            <w:tcW w:w="1417" w:type="dxa"/>
          </w:tcPr>
          <w:p w14:paraId="4EA07C34" w14:textId="77777777" w:rsidR="00EA728B" w:rsidRPr="00EA728B" w:rsidRDefault="00EA728B" w:rsidP="001D1819">
            <w:pPr>
              <w:spacing w:line="240" w:lineRule="auto"/>
              <w:jc w:val="center"/>
              <w:rPr>
                <w:sz w:val="20"/>
              </w:rPr>
            </w:pPr>
            <w:r w:rsidRPr="00EA728B">
              <w:rPr>
                <w:sz w:val="20"/>
              </w:rPr>
              <w:t>78,79</w:t>
            </w:r>
          </w:p>
        </w:tc>
      </w:tr>
      <w:tr w:rsidR="00EA728B" w:rsidRPr="00F6054E" w14:paraId="46ABDCCB" w14:textId="77777777" w:rsidTr="00EA728B">
        <w:trPr>
          <w:trHeight w:val="261"/>
        </w:trPr>
        <w:tc>
          <w:tcPr>
            <w:tcW w:w="1758" w:type="dxa"/>
          </w:tcPr>
          <w:p w14:paraId="3DB8E5AB" w14:textId="77777777" w:rsidR="00EA728B" w:rsidRPr="00EA728B" w:rsidRDefault="00EA728B" w:rsidP="00EA728B">
            <w:pPr>
              <w:spacing w:line="240" w:lineRule="auto"/>
              <w:jc w:val="center"/>
              <w:rPr>
                <w:sz w:val="20"/>
              </w:rPr>
            </w:pPr>
            <w:r w:rsidRPr="00EA728B">
              <w:rPr>
                <w:sz w:val="20"/>
              </w:rPr>
              <w:t>LOS</w:t>
            </w:r>
          </w:p>
        </w:tc>
        <w:tc>
          <w:tcPr>
            <w:tcW w:w="993" w:type="dxa"/>
          </w:tcPr>
          <w:p w14:paraId="794F9321" w14:textId="77777777" w:rsidR="00EA728B" w:rsidRPr="00EA728B" w:rsidRDefault="00EA728B" w:rsidP="001D1819">
            <w:pPr>
              <w:spacing w:line="240" w:lineRule="auto"/>
              <w:jc w:val="center"/>
              <w:rPr>
                <w:sz w:val="20"/>
              </w:rPr>
            </w:pPr>
            <w:r w:rsidRPr="00EA728B">
              <w:rPr>
                <w:sz w:val="20"/>
              </w:rPr>
              <w:t>7</w:t>
            </w:r>
          </w:p>
        </w:tc>
        <w:tc>
          <w:tcPr>
            <w:tcW w:w="1417" w:type="dxa"/>
          </w:tcPr>
          <w:p w14:paraId="7CCC5A29" w14:textId="77777777" w:rsidR="00EA728B" w:rsidRPr="00EA728B" w:rsidRDefault="00EA728B" w:rsidP="001D1819">
            <w:pPr>
              <w:spacing w:line="240" w:lineRule="auto"/>
              <w:jc w:val="center"/>
              <w:rPr>
                <w:sz w:val="20"/>
              </w:rPr>
            </w:pPr>
            <w:r w:rsidRPr="00EA728B">
              <w:rPr>
                <w:sz w:val="20"/>
              </w:rPr>
              <w:t>21,21</w:t>
            </w:r>
          </w:p>
        </w:tc>
      </w:tr>
      <w:tr w:rsidR="00EA728B" w:rsidRPr="00F6054E" w14:paraId="38D6395B" w14:textId="77777777" w:rsidTr="00EA728B">
        <w:trPr>
          <w:trHeight w:val="261"/>
        </w:trPr>
        <w:tc>
          <w:tcPr>
            <w:tcW w:w="1758" w:type="dxa"/>
          </w:tcPr>
          <w:p w14:paraId="4A422200" w14:textId="77777777" w:rsidR="00EA728B" w:rsidRPr="00EA728B" w:rsidRDefault="00EA728B" w:rsidP="00EA728B">
            <w:pPr>
              <w:spacing w:line="240" w:lineRule="auto"/>
              <w:jc w:val="center"/>
              <w:rPr>
                <w:sz w:val="20"/>
              </w:rPr>
            </w:pPr>
            <w:r w:rsidRPr="00EA728B">
              <w:rPr>
                <w:sz w:val="20"/>
              </w:rPr>
              <w:t>Metode Persalinan</w:t>
            </w:r>
          </w:p>
        </w:tc>
        <w:tc>
          <w:tcPr>
            <w:tcW w:w="993" w:type="dxa"/>
          </w:tcPr>
          <w:p w14:paraId="661F3410" w14:textId="77777777" w:rsidR="00EA728B" w:rsidRPr="00EA728B" w:rsidRDefault="00EA728B" w:rsidP="001D1819">
            <w:pPr>
              <w:spacing w:line="240" w:lineRule="auto"/>
              <w:jc w:val="center"/>
              <w:rPr>
                <w:sz w:val="20"/>
              </w:rPr>
            </w:pPr>
          </w:p>
        </w:tc>
        <w:tc>
          <w:tcPr>
            <w:tcW w:w="1417" w:type="dxa"/>
          </w:tcPr>
          <w:p w14:paraId="561D3063" w14:textId="77777777" w:rsidR="00EA728B" w:rsidRPr="00EA728B" w:rsidRDefault="00EA728B" w:rsidP="001D1819">
            <w:pPr>
              <w:spacing w:line="240" w:lineRule="auto"/>
              <w:jc w:val="center"/>
              <w:rPr>
                <w:sz w:val="20"/>
              </w:rPr>
            </w:pPr>
          </w:p>
        </w:tc>
      </w:tr>
      <w:tr w:rsidR="00EA728B" w:rsidRPr="00F6054E" w14:paraId="32EF08B5" w14:textId="77777777" w:rsidTr="00EA728B">
        <w:trPr>
          <w:trHeight w:val="261"/>
        </w:trPr>
        <w:tc>
          <w:tcPr>
            <w:tcW w:w="1758" w:type="dxa"/>
          </w:tcPr>
          <w:p w14:paraId="0D632769" w14:textId="77777777" w:rsidR="00EA728B" w:rsidRPr="00EA728B" w:rsidRDefault="00EA728B" w:rsidP="00EA728B">
            <w:pPr>
              <w:spacing w:line="240" w:lineRule="auto"/>
              <w:ind w:left="-90" w:firstLine="90"/>
              <w:jc w:val="center"/>
              <w:rPr>
                <w:sz w:val="20"/>
              </w:rPr>
            </w:pPr>
            <w:r w:rsidRPr="00EA728B">
              <w:rPr>
                <w:sz w:val="20"/>
              </w:rPr>
              <w:t>Normal</w:t>
            </w:r>
          </w:p>
        </w:tc>
        <w:tc>
          <w:tcPr>
            <w:tcW w:w="993" w:type="dxa"/>
          </w:tcPr>
          <w:p w14:paraId="2FEBA855" w14:textId="77777777" w:rsidR="00EA728B" w:rsidRPr="00EA728B" w:rsidRDefault="00EA728B" w:rsidP="001D1819">
            <w:pPr>
              <w:spacing w:line="240" w:lineRule="auto"/>
              <w:jc w:val="center"/>
              <w:rPr>
                <w:sz w:val="20"/>
              </w:rPr>
            </w:pPr>
            <w:r w:rsidRPr="00EA728B">
              <w:rPr>
                <w:sz w:val="20"/>
              </w:rPr>
              <w:t>14</w:t>
            </w:r>
          </w:p>
        </w:tc>
        <w:tc>
          <w:tcPr>
            <w:tcW w:w="1417" w:type="dxa"/>
          </w:tcPr>
          <w:p w14:paraId="7EA59FC3" w14:textId="77777777" w:rsidR="00EA728B" w:rsidRPr="00EA728B" w:rsidRDefault="00EA728B" w:rsidP="001D1819">
            <w:pPr>
              <w:spacing w:line="240" w:lineRule="auto"/>
              <w:jc w:val="center"/>
              <w:rPr>
                <w:sz w:val="20"/>
              </w:rPr>
            </w:pPr>
            <w:r w:rsidRPr="00EA728B">
              <w:rPr>
                <w:sz w:val="20"/>
              </w:rPr>
              <w:t>42,42</w:t>
            </w:r>
          </w:p>
        </w:tc>
      </w:tr>
      <w:tr w:rsidR="00EA728B" w:rsidRPr="00F6054E" w14:paraId="4BE6AE0A" w14:textId="77777777" w:rsidTr="00EA728B">
        <w:trPr>
          <w:trHeight w:val="276"/>
        </w:trPr>
        <w:tc>
          <w:tcPr>
            <w:tcW w:w="1758" w:type="dxa"/>
          </w:tcPr>
          <w:p w14:paraId="172DCDD1" w14:textId="77777777" w:rsidR="00EA728B" w:rsidRPr="00EA728B" w:rsidRDefault="00EA728B" w:rsidP="00EA728B">
            <w:pPr>
              <w:spacing w:line="240" w:lineRule="auto"/>
              <w:jc w:val="center"/>
              <w:rPr>
                <w:sz w:val="20"/>
              </w:rPr>
            </w:pPr>
            <w:r w:rsidRPr="00EA728B">
              <w:rPr>
                <w:sz w:val="20"/>
              </w:rPr>
              <w:t>Sesar</w:t>
            </w:r>
          </w:p>
        </w:tc>
        <w:tc>
          <w:tcPr>
            <w:tcW w:w="993" w:type="dxa"/>
          </w:tcPr>
          <w:p w14:paraId="533D7808" w14:textId="77777777" w:rsidR="00EA728B" w:rsidRPr="00EA728B" w:rsidRDefault="00EA728B" w:rsidP="001D1819">
            <w:pPr>
              <w:spacing w:line="240" w:lineRule="auto"/>
              <w:jc w:val="center"/>
              <w:rPr>
                <w:sz w:val="20"/>
              </w:rPr>
            </w:pPr>
            <w:r w:rsidRPr="00EA728B">
              <w:rPr>
                <w:sz w:val="20"/>
              </w:rPr>
              <w:t>19</w:t>
            </w:r>
          </w:p>
        </w:tc>
        <w:tc>
          <w:tcPr>
            <w:tcW w:w="1417" w:type="dxa"/>
          </w:tcPr>
          <w:p w14:paraId="7832B214" w14:textId="77777777" w:rsidR="00EA728B" w:rsidRPr="00EA728B" w:rsidRDefault="00EA728B" w:rsidP="001D1819">
            <w:pPr>
              <w:spacing w:line="240" w:lineRule="auto"/>
              <w:jc w:val="center"/>
              <w:rPr>
                <w:sz w:val="20"/>
              </w:rPr>
            </w:pPr>
            <w:r w:rsidRPr="00EA728B">
              <w:rPr>
                <w:sz w:val="20"/>
              </w:rPr>
              <w:t>57,58</w:t>
            </w:r>
          </w:p>
        </w:tc>
      </w:tr>
    </w:tbl>
    <w:p w14:paraId="6BAF8A60" w14:textId="1071C3BC" w:rsidR="00800CFF" w:rsidRDefault="00800CFF" w:rsidP="00800CFF">
      <w:pPr>
        <w:spacing w:line="240" w:lineRule="auto"/>
        <w:ind w:firstLine="720"/>
      </w:pPr>
      <w:r w:rsidRPr="00EA728B">
        <w:rPr>
          <w:szCs w:val="24"/>
        </w:rPr>
        <w:t>Ditinjau dari metode persalinan, neonatus yang lahir melalui operasi sesar (SC) lebih banyak sebesar 19 pasien (57,58%), dibandingkan</w:t>
      </w:r>
      <w:r w:rsidR="00FB4950">
        <w:rPr>
          <w:szCs w:val="24"/>
        </w:rPr>
        <w:t xml:space="preserve"> dengan</w:t>
      </w:r>
      <w:r w:rsidRPr="00EA728B">
        <w:rPr>
          <w:szCs w:val="24"/>
        </w:rPr>
        <w:t xml:space="preserve"> persalinan normal sebanyak 14 pasien (42,42%). </w:t>
      </w:r>
      <w:r w:rsidRPr="001E4778">
        <w:t xml:space="preserve">Beberapa penelitian menunjukkan adanya hubungan antara </w:t>
      </w:r>
      <w:r>
        <w:t>persalinan sesar</w:t>
      </w:r>
      <w:r w:rsidRPr="001E4778">
        <w:t xml:space="preserve"> dan peningkatan risiko sepsis neonatus, terutama pada kasus dengan indikasi infeksi maternal atau tindakan emergensi (Maisaba </w:t>
      </w:r>
      <w:r w:rsidR="00FB4950" w:rsidRPr="00FB4950">
        <w:rPr>
          <w:i/>
          <w:iCs/>
        </w:rPr>
        <w:t>et al</w:t>
      </w:r>
      <w:r w:rsidRPr="001E4778">
        <w:t xml:space="preserve">., 2024). Mekanisme ini </w:t>
      </w:r>
      <w:r>
        <w:t>dapat dikaitkan dengan adanya paparan bakteri pada saat dilakukan</w:t>
      </w:r>
      <w:r w:rsidRPr="001E4778">
        <w:t xml:space="preserve"> intervensi medis.</w:t>
      </w:r>
    </w:p>
    <w:p w14:paraId="485C6F6C" w14:textId="77777777" w:rsidR="00FB4497" w:rsidRPr="00800CFF" w:rsidRDefault="00FB4497" w:rsidP="00800CFF">
      <w:pPr>
        <w:spacing w:line="240" w:lineRule="auto"/>
        <w:ind w:firstLine="720"/>
        <w:rPr>
          <w:b/>
          <w:bCs/>
        </w:rPr>
      </w:pPr>
    </w:p>
    <w:p w14:paraId="1D2B6777" w14:textId="77777777" w:rsidR="00D24FD8" w:rsidRDefault="00694BF7" w:rsidP="00FB4950">
      <w:pPr>
        <w:pStyle w:val="Heading2"/>
        <w:jc w:val="both"/>
      </w:pPr>
      <w:r w:rsidRPr="00800CFF">
        <w:t xml:space="preserve">Tabel </w:t>
      </w:r>
      <w:r w:rsidR="00FB4497">
        <w:t>2</w:t>
      </w:r>
      <w:r w:rsidRPr="00800CFF">
        <w:t xml:space="preserve"> </w:t>
      </w:r>
      <w:r>
        <w:t>Gambaran Lama Penggunaan Antibiotik di NICU RSUD Haji</w:t>
      </w:r>
    </w:p>
    <w:tbl>
      <w:tblPr>
        <w:tblW w:w="4452"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191"/>
        <w:gridCol w:w="708"/>
        <w:gridCol w:w="852"/>
        <w:gridCol w:w="425"/>
        <w:gridCol w:w="800"/>
        <w:gridCol w:w="476"/>
      </w:tblGrid>
      <w:tr w:rsidR="000C4D3B" w:rsidRPr="00694BF7" w14:paraId="2625FF4C" w14:textId="77777777" w:rsidTr="000C4D3B">
        <w:trPr>
          <w:trHeight w:val="251"/>
        </w:trPr>
        <w:tc>
          <w:tcPr>
            <w:tcW w:w="1191" w:type="dxa"/>
            <w:vMerge w:val="restart"/>
            <w:tcBorders>
              <w:top w:val="single" w:sz="4" w:space="0" w:color="auto"/>
              <w:bottom w:val="single" w:sz="4" w:space="0" w:color="auto"/>
            </w:tcBorders>
            <w:vAlign w:val="center"/>
          </w:tcPr>
          <w:p w14:paraId="4AD5BE2C" w14:textId="77777777" w:rsidR="000C4D3B" w:rsidRPr="000C4D3B" w:rsidRDefault="000C4D3B" w:rsidP="000C4D3B">
            <w:pPr>
              <w:spacing w:line="240" w:lineRule="auto"/>
              <w:jc w:val="center"/>
              <w:rPr>
                <w:b/>
                <w:bCs/>
                <w:sz w:val="20"/>
              </w:rPr>
            </w:pPr>
            <w:commentRangeStart w:id="10"/>
            <w:r w:rsidRPr="000C4D3B">
              <w:rPr>
                <w:b/>
                <w:bCs/>
                <w:sz w:val="20"/>
              </w:rPr>
              <w:t>Pengamatan</w:t>
            </w:r>
          </w:p>
        </w:tc>
        <w:tc>
          <w:tcPr>
            <w:tcW w:w="3261" w:type="dxa"/>
            <w:gridSpan w:val="5"/>
            <w:tcBorders>
              <w:top w:val="single" w:sz="4" w:space="0" w:color="auto"/>
              <w:bottom w:val="single" w:sz="4" w:space="0" w:color="auto"/>
            </w:tcBorders>
            <w:vAlign w:val="center"/>
          </w:tcPr>
          <w:p w14:paraId="04ED7ECC" w14:textId="77777777" w:rsidR="000C4D3B" w:rsidRPr="000C4D3B" w:rsidRDefault="000C4D3B" w:rsidP="000C4D3B">
            <w:pPr>
              <w:spacing w:line="240" w:lineRule="auto"/>
              <w:jc w:val="center"/>
              <w:rPr>
                <w:b/>
                <w:bCs/>
                <w:sz w:val="20"/>
              </w:rPr>
            </w:pPr>
            <w:r w:rsidRPr="000C4D3B">
              <w:rPr>
                <w:b/>
                <w:bCs/>
                <w:i/>
                <w:sz w:val="20"/>
              </w:rPr>
              <w:t>Antibiotik Empiris</w:t>
            </w:r>
          </w:p>
        </w:tc>
      </w:tr>
      <w:tr w:rsidR="000C4D3B" w:rsidRPr="00694BF7" w14:paraId="0296F091" w14:textId="77777777" w:rsidTr="000C4D3B">
        <w:trPr>
          <w:trHeight w:val="197"/>
        </w:trPr>
        <w:tc>
          <w:tcPr>
            <w:tcW w:w="1191" w:type="dxa"/>
            <w:vMerge/>
            <w:tcBorders>
              <w:top w:val="nil"/>
              <w:bottom w:val="single" w:sz="4" w:space="0" w:color="auto"/>
            </w:tcBorders>
            <w:vAlign w:val="center"/>
          </w:tcPr>
          <w:p w14:paraId="1ABFE060" w14:textId="77777777" w:rsidR="000C4D3B" w:rsidRPr="000C4D3B" w:rsidRDefault="000C4D3B" w:rsidP="000C4D3B">
            <w:pPr>
              <w:spacing w:line="240" w:lineRule="auto"/>
              <w:jc w:val="center"/>
              <w:rPr>
                <w:b/>
                <w:bCs/>
                <w:sz w:val="20"/>
              </w:rPr>
            </w:pPr>
          </w:p>
        </w:tc>
        <w:tc>
          <w:tcPr>
            <w:tcW w:w="1560" w:type="dxa"/>
            <w:gridSpan w:val="2"/>
            <w:tcBorders>
              <w:top w:val="single" w:sz="4" w:space="0" w:color="auto"/>
              <w:bottom w:val="single" w:sz="4" w:space="0" w:color="auto"/>
            </w:tcBorders>
            <w:vAlign w:val="center"/>
          </w:tcPr>
          <w:p w14:paraId="4E0F8D94" w14:textId="77777777" w:rsidR="000C4D3B" w:rsidRPr="000C4D3B" w:rsidRDefault="000C4D3B" w:rsidP="000C4D3B">
            <w:pPr>
              <w:spacing w:line="240" w:lineRule="auto"/>
              <w:jc w:val="center"/>
              <w:rPr>
                <w:b/>
                <w:bCs/>
                <w:sz w:val="20"/>
              </w:rPr>
            </w:pPr>
            <w:r w:rsidRPr="000C4D3B">
              <w:rPr>
                <w:b/>
                <w:bCs/>
                <w:sz w:val="20"/>
              </w:rPr>
              <w:t>Lini Pertama</w:t>
            </w:r>
          </w:p>
          <w:p w14:paraId="45B74447" w14:textId="77777777" w:rsidR="000C4D3B" w:rsidRPr="000C4D3B" w:rsidRDefault="000C4D3B" w:rsidP="000C4D3B">
            <w:pPr>
              <w:spacing w:line="240" w:lineRule="auto"/>
              <w:jc w:val="center"/>
              <w:rPr>
                <w:b/>
                <w:bCs/>
                <w:sz w:val="20"/>
              </w:rPr>
            </w:pPr>
            <w:r w:rsidRPr="000C4D3B">
              <w:rPr>
                <w:b/>
                <w:bCs/>
                <w:sz w:val="20"/>
              </w:rPr>
              <w:t>(Ampisilin dan Gentamisin)</w:t>
            </w:r>
          </w:p>
        </w:tc>
        <w:tc>
          <w:tcPr>
            <w:tcW w:w="1701" w:type="dxa"/>
            <w:gridSpan w:val="3"/>
            <w:tcBorders>
              <w:top w:val="single" w:sz="4" w:space="0" w:color="auto"/>
              <w:bottom w:val="single" w:sz="4" w:space="0" w:color="auto"/>
            </w:tcBorders>
            <w:vAlign w:val="center"/>
          </w:tcPr>
          <w:p w14:paraId="22C325A5" w14:textId="77777777" w:rsidR="000C4D3B" w:rsidRPr="000C4D3B" w:rsidRDefault="000C4D3B" w:rsidP="000C4D3B">
            <w:pPr>
              <w:spacing w:line="240" w:lineRule="auto"/>
              <w:jc w:val="center"/>
              <w:rPr>
                <w:b/>
                <w:bCs/>
                <w:sz w:val="20"/>
              </w:rPr>
            </w:pPr>
            <w:r w:rsidRPr="000C4D3B">
              <w:rPr>
                <w:b/>
                <w:bCs/>
                <w:sz w:val="20"/>
              </w:rPr>
              <w:t>Lini Kedua</w:t>
            </w:r>
          </w:p>
          <w:p w14:paraId="3387FA37" w14:textId="77777777" w:rsidR="000C4D3B" w:rsidRPr="000C4D3B" w:rsidRDefault="000C4D3B" w:rsidP="000C4D3B">
            <w:pPr>
              <w:spacing w:line="240" w:lineRule="auto"/>
              <w:jc w:val="center"/>
              <w:rPr>
                <w:b/>
                <w:bCs/>
                <w:sz w:val="20"/>
              </w:rPr>
            </w:pPr>
            <w:r w:rsidRPr="000C4D3B">
              <w:rPr>
                <w:b/>
                <w:bCs/>
                <w:sz w:val="20"/>
              </w:rPr>
              <w:t>(Meropenem dan Amikasin)</w:t>
            </w:r>
          </w:p>
        </w:tc>
      </w:tr>
      <w:tr w:rsidR="000C4D3B" w:rsidRPr="00694BF7" w14:paraId="1B6166EC" w14:textId="77777777" w:rsidTr="005321CC">
        <w:trPr>
          <w:gridAfter w:val="1"/>
          <w:wAfter w:w="476" w:type="dxa"/>
          <w:trHeight w:val="552"/>
        </w:trPr>
        <w:tc>
          <w:tcPr>
            <w:tcW w:w="3976" w:type="dxa"/>
            <w:gridSpan w:val="5"/>
            <w:tcBorders>
              <w:top w:val="nil"/>
            </w:tcBorders>
            <w:vAlign w:val="center"/>
          </w:tcPr>
          <w:p w14:paraId="7397A352" w14:textId="77777777" w:rsidR="000C4D3B" w:rsidRPr="00694BF7" w:rsidRDefault="000C4D3B" w:rsidP="000C4D3B">
            <w:pPr>
              <w:spacing w:line="240" w:lineRule="auto"/>
              <w:jc w:val="left"/>
              <w:rPr>
                <w:sz w:val="20"/>
              </w:rPr>
            </w:pPr>
            <w:r w:rsidRPr="000C4D3B">
              <w:rPr>
                <w:b/>
                <w:bCs/>
                <w:sz w:val="20"/>
              </w:rPr>
              <w:t>Lama Penggunaan</w:t>
            </w:r>
          </w:p>
        </w:tc>
      </w:tr>
      <w:tr w:rsidR="000C4D3B" w:rsidRPr="00694BF7" w14:paraId="3DFB0403" w14:textId="77777777" w:rsidTr="000C4D3B">
        <w:trPr>
          <w:trHeight w:val="283"/>
        </w:trPr>
        <w:tc>
          <w:tcPr>
            <w:tcW w:w="1191" w:type="dxa"/>
            <w:vAlign w:val="center"/>
          </w:tcPr>
          <w:p w14:paraId="02B625F5" w14:textId="77777777" w:rsidR="000C4D3B" w:rsidRPr="00694BF7" w:rsidRDefault="000C4D3B" w:rsidP="000C4D3B">
            <w:pPr>
              <w:spacing w:line="240" w:lineRule="auto"/>
              <w:jc w:val="center"/>
              <w:rPr>
                <w:sz w:val="20"/>
              </w:rPr>
            </w:pPr>
            <w:r w:rsidRPr="00694BF7">
              <w:rPr>
                <w:sz w:val="20"/>
              </w:rPr>
              <w:t>≤7 hari</w:t>
            </w:r>
          </w:p>
        </w:tc>
        <w:tc>
          <w:tcPr>
            <w:tcW w:w="708" w:type="dxa"/>
            <w:vAlign w:val="center"/>
          </w:tcPr>
          <w:p w14:paraId="20DAE0A7" w14:textId="77777777" w:rsidR="000C4D3B" w:rsidRPr="00694BF7" w:rsidRDefault="000C4D3B" w:rsidP="000C4D3B">
            <w:pPr>
              <w:spacing w:line="240" w:lineRule="auto"/>
              <w:jc w:val="center"/>
              <w:rPr>
                <w:sz w:val="20"/>
              </w:rPr>
            </w:pPr>
            <w:r w:rsidRPr="00694BF7">
              <w:rPr>
                <w:sz w:val="20"/>
              </w:rPr>
              <w:t>14</w:t>
            </w:r>
          </w:p>
        </w:tc>
        <w:tc>
          <w:tcPr>
            <w:tcW w:w="852" w:type="dxa"/>
            <w:vAlign w:val="center"/>
          </w:tcPr>
          <w:p w14:paraId="07E92670" w14:textId="77777777" w:rsidR="000C4D3B" w:rsidRPr="00694BF7" w:rsidRDefault="000C4D3B" w:rsidP="000C4D3B">
            <w:pPr>
              <w:spacing w:line="240" w:lineRule="auto"/>
              <w:jc w:val="center"/>
              <w:rPr>
                <w:sz w:val="20"/>
              </w:rPr>
            </w:pPr>
            <w:r w:rsidRPr="00694BF7">
              <w:rPr>
                <w:sz w:val="20"/>
              </w:rPr>
              <w:t>42,42%</w:t>
            </w:r>
          </w:p>
        </w:tc>
        <w:tc>
          <w:tcPr>
            <w:tcW w:w="425" w:type="dxa"/>
            <w:vAlign w:val="center"/>
          </w:tcPr>
          <w:p w14:paraId="167450E9" w14:textId="77777777" w:rsidR="000C4D3B" w:rsidRPr="00694BF7" w:rsidRDefault="000C4D3B" w:rsidP="000C4D3B">
            <w:pPr>
              <w:spacing w:line="240" w:lineRule="auto"/>
              <w:jc w:val="center"/>
              <w:rPr>
                <w:sz w:val="20"/>
              </w:rPr>
            </w:pPr>
            <w:r>
              <w:rPr>
                <w:sz w:val="20"/>
              </w:rPr>
              <w:t>13</w:t>
            </w:r>
          </w:p>
        </w:tc>
        <w:tc>
          <w:tcPr>
            <w:tcW w:w="1276" w:type="dxa"/>
            <w:gridSpan w:val="2"/>
            <w:vAlign w:val="center"/>
          </w:tcPr>
          <w:p w14:paraId="0750B34B" w14:textId="77777777" w:rsidR="000C4D3B" w:rsidRPr="00694BF7" w:rsidRDefault="000C4D3B" w:rsidP="000C4D3B">
            <w:pPr>
              <w:spacing w:line="240" w:lineRule="auto"/>
              <w:jc w:val="center"/>
              <w:rPr>
                <w:sz w:val="20"/>
              </w:rPr>
            </w:pPr>
            <w:r>
              <w:rPr>
                <w:sz w:val="20"/>
              </w:rPr>
              <w:t>39,39</w:t>
            </w:r>
            <w:r w:rsidRPr="00694BF7">
              <w:rPr>
                <w:sz w:val="20"/>
              </w:rPr>
              <w:t>%</w:t>
            </w:r>
          </w:p>
        </w:tc>
      </w:tr>
      <w:tr w:rsidR="000C4D3B" w:rsidRPr="00694BF7" w14:paraId="1B03A2A5" w14:textId="77777777" w:rsidTr="000C4D3B">
        <w:trPr>
          <w:trHeight w:val="267"/>
        </w:trPr>
        <w:tc>
          <w:tcPr>
            <w:tcW w:w="1191" w:type="dxa"/>
            <w:vAlign w:val="center"/>
          </w:tcPr>
          <w:p w14:paraId="61D5B0AB" w14:textId="77777777" w:rsidR="000C4D3B" w:rsidRPr="00694BF7" w:rsidRDefault="000C4D3B" w:rsidP="000C4D3B">
            <w:pPr>
              <w:spacing w:line="240" w:lineRule="auto"/>
              <w:jc w:val="center"/>
              <w:rPr>
                <w:sz w:val="20"/>
              </w:rPr>
            </w:pPr>
            <w:r w:rsidRPr="00694BF7">
              <w:rPr>
                <w:sz w:val="20"/>
              </w:rPr>
              <w:t>&gt;7 hari</w:t>
            </w:r>
          </w:p>
        </w:tc>
        <w:tc>
          <w:tcPr>
            <w:tcW w:w="708" w:type="dxa"/>
            <w:vAlign w:val="center"/>
          </w:tcPr>
          <w:p w14:paraId="5DE77832" w14:textId="77777777" w:rsidR="000C4D3B" w:rsidRPr="00694BF7" w:rsidRDefault="000C4D3B" w:rsidP="000C4D3B">
            <w:pPr>
              <w:spacing w:line="240" w:lineRule="auto"/>
              <w:jc w:val="center"/>
              <w:rPr>
                <w:sz w:val="20"/>
              </w:rPr>
            </w:pPr>
            <w:r w:rsidRPr="00694BF7">
              <w:rPr>
                <w:sz w:val="20"/>
              </w:rPr>
              <w:t>6</w:t>
            </w:r>
          </w:p>
        </w:tc>
        <w:tc>
          <w:tcPr>
            <w:tcW w:w="852" w:type="dxa"/>
            <w:vAlign w:val="center"/>
          </w:tcPr>
          <w:p w14:paraId="13FAFB78" w14:textId="77777777" w:rsidR="000C4D3B" w:rsidRPr="00694BF7" w:rsidRDefault="000C4D3B" w:rsidP="000C4D3B">
            <w:pPr>
              <w:spacing w:line="240" w:lineRule="auto"/>
              <w:jc w:val="center"/>
              <w:rPr>
                <w:sz w:val="20"/>
              </w:rPr>
            </w:pPr>
            <w:r w:rsidRPr="00694BF7">
              <w:rPr>
                <w:sz w:val="20"/>
              </w:rPr>
              <w:t>18,19%</w:t>
            </w:r>
          </w:p>
        </w:tc>
        <w:tc>
          <w:tcPr>
            <w:tcW w:w="425" w:type="dxa"/>
            <w:vAlign w:val="center"/>
          </w:tcPr>
          <w:p w14:paraId="1E8DF440" w14:textId="77777777" w:rsidR="000C4D3B" w:rsidRPr="00694BF7" w:rsidRDefault="000C4D3B" w:rsidP="000C4D3B">
            <w:pPr>
              <w:spacing w:line="240" w:lineRule="auto"/>
              <w:jc w:val="center"/>
              <w:rPr>
                <w:sz w:val="20"/>
              </w:rPr>
            </w:pPr>
            <w:r w:rsidRPr="00694BF7">
              <w:rPr>
                <w:sz w:val="20"/>
              </w:rPr>
              <w:t>-</w:t>
            </w:r>
          </w:p>
        </w:tc>
        <w:tc>
          <w:tcPr>
            <w:tcW w:w="1276" w:type="dxa"/>
            <w:gridSpan w:val="2"/>
            <w:vAlign w:val="center"/>
          </w:tcPr>
          <w:p w14:paraId="46E003EE" w14:textId="77777777" w:rsidR="000C4D3B" w:rsidRPr="00694BF7" w:rsidRDefault="000C4D3B" w:rsidP="000C4D3B">
            <w:pPr>
              <w:spacing w:line="240" w:lineRule="auto"/>
              <w:jc w:val="center"/>
              <w:rPr>
                <w:sz w:val="20"/>
              </w:rPr>
            </w:pPr>
            <w:r w:rsidRPr="00694BF7">
              <w:rPr>
                <w:sz w:val="20"/>
              </w:rPr>
              <w:t xml:space="preserve"> </w:t>
            </w:r>
          </w:p>
        </w:tc>
      </w:tr>
      <w:tr w:rsidR="000C4D3B" w:rsidRPr="00694BF7" w14:paraId="699AA22D" w14:textId="77777777" w:rsidTr="000C4D3B">
        <w:trPr>
          <w:trHeight w:val="267"/>
        </w:trPr>
        <w:tc>
          <w:tcPr>
            <w:tcW w:w="1191" w:type="dxa"/>
            <w:vAlign w:val="center"/>
          </w:tcPr>
          <w:p w14:paraId="75835DF8" w14:textId="77777777" w:rsidR="000C4D3B" w:rsidRPr="00694BF7" w:rsidRDefault="000C4D3B" w:rsidP="000C4D3B">
            <w:pPr>
              <w:spacing w:line="240" w:lineRule="auto"/>
              <w:jc w:val="center"/>
              <w:rPr>
                <w:sz w:val="20"/>
              </w:rPr>
            </w:pPr>
            <w:r w:rsidRPr="00694BF7">
              <w:rPr>
                <w:sz w:val="20"/>
              </w:rPr>
              <w:t>Total</w:t>
            </w:r>
          </w:p>
        </w:tc>
        <w:tc>
          <w:tcPr>
            <w:tcW w:w="708" w:type="dxa"/>
            <w:vAlign w:val="center"/>
          </w:tcPr>
          <w:p w14:paraId="4BB8DE9E" w14:textId="77777777" w:rsidR="000C4D3B" w:rsidRPr="00694BF7" w:rsidRDefault="000C4D3B" w:rsidP="000C4D3B">
            <w:pPr>
              <w:spacing w:line="240" w:lineRule="auto"/>
              <w:jc w:val="center"/>
              <w:rPr>
                <w:sz w:val="20"/>
              </w:rPr>
            </w:pPr>
            <w:r w:rsidRPr="00694BF7">
              <w:rPr>
                <w:sz w:val="20"/>
              </w:rPr>
              <w:t>20</w:t>
            </w:r>
          </w:p>
        </w:tc>
        <w:tc>
          <w:tcPr>
            <w:tcW w:w="852" w:type="dxa"/>
            <w:vAlign w:val="center"/>
          </w:tcPr>
          <w:p w14:paraId="0E41200E" w14:textId="77777777" w:rsidR="000C4D3B" w:rsidRPr="00694BF7" w:rsidRDefault="000C4D3B" w:rsidP="000C4D3B">
            <w:pPr>
              <w:spacing w:line="240" w:lineRule="auto"/>
              <w:jc w:val="center"/>
              <w:rPr>
                <w:sz w:val="20"/>
              </w:rPr>
            </w:pPr>
            <w:r w:rsidRPr="00694BF7">
              <w:rPr>
                <w:sz w:val="20"/>
              </w:rPr>
              <w:t>60,61%</w:t>
            </w:r>
          </w:p>
        </w:tc>
        <w:tc>
          <w:tcPr>
            <w:tcW w:w="425" w:type="dxa"/>
            <w:vAlign w:val="center"/>
          </w:tcPr>
          <w:p w14:paraId="73776597" w14:textId="77777777" w:rsidR="000C4D3B" w:rsidRPr="00694BF7" w:rsidRDefault="000C4D3B" w:rsidP="000C4D3B">
            <w:pPr>
              <w:spacing w:line="240" w:lineRule="auto"/>
              <w:jc w:val="center"/>
              <w:rPr>
                <w:sz w:val="20"/>
              </w:rPr>
            </w:pPr>
            <w:r>
              <w:rPr>
                <w:sz w:val="20"/>
              </w:rPr>
              <w:t>13</w:t>
            </w:r>
          </w:p>
        </w:tc>
        <w:tc>
          <w:tcPr>
            <w:tcW w:w="1276" w:type="dxa"/>
            <w:gridSpan w:val="2"/>
            <w:vAlign w:val="center"/>
          </w:tcPr>
          <w:p w14:paraId="46814E03" w14:textId="77777777" w:rsidR="000C4D3B" w:rsidRPr="00694BF7" w:rsidRDefault="000C4D3B" w:rsidP="000C4D3B">
            <w:pPr>
              <w:spacing w:line="240" w:lineRule="auto"/>
              <w:jc w:val="center"/>
              <w:rPr>
                <w:sz w:val="20"/>
              </w:rPr>
            </w:pPr>
            <w:r>
              <w:rPr>
                <w:sz w:val="20"/>
              </w:rPr>
              <w:t>39</w:t>
            </w:r>
            <w:r w:rsidRPr="00694BF7">
              <w:rPr>
                <w:sz w:val="20"/>
              </w:rPr>
              <w:t>,</w:t>
            </w:r>
            <w:r>
              <w:rPr>
                <w:sz w:val="20"/>
              </w:rPr>
              <w:t>39</w:t>
            </w:r>
            <w:r w:rsidRPr="00694BF7">
              <w:rPr>
                <w:sz w:val="20"/>
              </w:rPr>
              <w:t>%</w:t>
            </w:r>
          </w:p>
        </w:tc>
      </w:tr>
      <w:tr w:rsidR="000C4D3B" w:rsidRPr="00694BF7" w14:paraId="22712039" w14:textId="77777777" w:rsidTr="000C4D3B">
        <w:trPr>
          <w:trHeight w:val="251"/>
        </w:trPr>
        <w:tc>
          <w:tcPr>
            <w:tcW w:w="1191" w:type="dxa"/>
            <w:vAlign w:val="center"/>
          </w:tcPr>
          <w:p w14:paraId="6C4C976C" w14:textId="77777777" w:rsidR="000C4D3B" w:rsidRPr="000C4D3B" w:rsidRDefault="000C4D3B" w:rsidP="000C4D3B">
            <w:pPr>
              <w:spacing w:line="240" w:lineRule="auto"/>
              <w:jc w:val="center"/>
              <w:rPr>
                <w:b/>
                <w:bCs/>
                <w:sz w:val="20"/>
              </w:rPr>
            </w:pPr>
            <w:r w:rsidRPr="000C4D3B">
              <w:rPr>
                <w:b/>
                <w:bCs/>
                <w:sz w:val="20"/>
              </w:rPr>
              <w:t>Hasil kultur</w:t>
            </w:r>
          </w:p>
        </w:tc>
        <w:tc>
          <w:tcPr>
            <w:tcW w:w="708" w:type="dxa"/>
            <w:vAlign w:val="center"/>
          </w:tcPr>
          <w:p w14:paraId="515A0CD5" w14:textId="77777777" w:rsidR="000C4D3B" w:rsidRPr="00694BF7" w:rsidRDefault="000C4D3B" w:rsidP="000C4D3B">
            <w:pPr>
              <w:spacing w:line="240" w:lineRule="auto"/>
              <w:jc w:val="center"/>
              <w:rPr>
                <w:sz w:val="20"/>
              </w:rPr>
            </w:pPr>
          </w:p>
        </w:tc>
        <w:tc>
          <w:tcPr>
            <w:tcW w:w="852" w:type="dxa"/>
            <w:vAlign w:val="center"/>
          </w:tcPr>
          <w:p w14:paraId="06AB384D" w14:textId="77777777" w:rsidR="000C4D3B" w:rsidRPr="00694BF7" w:rsidRDefault="000C4D3B" w:rsidP="000C4D3B">
            <w:pPr>
              <w:spacing w:line="240" w:lineRule="auto"/>
              <w:jc w:val="center"/>
              <w:rPr>
                <w:sz w:val="20"/>
              </w:rPr>
            </w:pPr>
          </w:p>
        </w:tc>
        <w:tc>
          <w:tcPr>
            <w:tcW w:w="425" w:type="dxa"/>
            <w:vAlign w:val="center"/>
          </w:tcPr>
          <w:p w14:paraId="719B8B2E" w14:textId="77777777" w:rsidR="000C4D3B" w:rsidRPr="00694BF7" w:rsidRDefault="000C4D3B" w:rsidP="000C4D3B">
            <w:pPr>
              <w:spacing w:line="240" w:lineRule="auto"/>
              <w:jc w:val="center"/>
              <w:rPr>
                <w:sz w:val="20"/>
              </w:rPr>
            </w:pPr>
          </w:p>
        </w:tc>
        <w:tc>
          <w:tcPr>
            <w:tcW w:w="1276" w:type="dxa"/>
            <w:gridSpan w:val="2"/>
            <w:vAlign w:val="center"/>
          </w:tcPr>
          <w:p w14:paraId="7737602A" w14:textId="77777777" w:rsidR="000C4D3B" w:rsidRPr="00694BF7" w:rsidRDefault="000C4D3B" w:rsidP="000C4D3B">
            <w:pPr>
              <w:spacing w:line="240" w:lineRule="auto"/>
              <w:jc w:val="center"/>
              <w:rPr>
                <w:sz w:val="20"/>
              </w:rPr>
            </w:pPr>
          </w:p>
        </w:tc>
      </w:tr>
      <w:tr w:rsidR="000C4D3B" w:rsidRPr="00694BF7" w14:paraId="42BBD282" w14:textId="77777777" w:rsidTr="000C4D3B">
        <w:trPr>
          <w:trHeight w:val="251"/>
        </w:trPr>
        <w:tc>
          <w:tcPr>
            <w:tcW w:w="1191" w:type="dxa"/>
            <w:vAlign w:val="center"/>
          </w:tcPr>
          <w:p w14:paraId="68EDF303" w14:textId="77777777" w:rsidR="000C4D3B" w:rsidRPr="00694BF7" w:rsidRDefault="000C4D3B" w:rsidP="000C4D3B">
            <w:pPr>
              <w:spacing w:line="240" w:lineRule="auto"/>
              <w:jc w:val="center"/>
              <w:rPr>
                <w:sz w:val="20"/>
              </w:rPr>
            </w:pPr>
            <w:r w:rsidRPr="00694BF7">
              <w:rPr>
                <w:sz w:val="20"/>
              </w:rPr>
              <w:t>Positif</w:t>
            </w:r>
          </w:p>
        </w:tc>
        <w:tc>
          <w:tcPr>
            <w:tcW w:w="708" w:type="dxa"/>
            <w:vAlign w:val="center"/>
          </w:tcPr>
          <w:p w14:paraId="0B909ECC" w14:textId="77777777" w:rsidR="000C4D3B" w:rsidRPr="00694BF7" w:rsidRDefault="000C4D3B" w:rsidP="000C4D3B">
            <w:pPr>
              <w:spacing w:line="240" w:lineRule="auto"/>
              <w:jc w:val="center"/>
              <w:rPr>
                <w:sz w:val="20"/>
              </w:rPr>
            </w:pPr>
            <w:r w:rsidRPr="00694BF7">
              <w:rPr>
                <w:sz w:val="20"/>
              </w:rPr>
              <w:t>5</w:t>
            </w:r>
          </w:p>
        </w:tc>
        <w:tc>
          <w:tcPr>
            <w:tcW w:w="852" w:type="dxa"/>
            <w:vAlign w:val="center"/>
          </w:tcPr>
          <w:p w14:paraId="4628B061" w14:textId="77777777" w:rsidR="000C4D3B" w:rsidRPr="00694BF7" w:rsidRDefault="000C4D3B" w:rsidP="000C4D3B">
            <w:pPr>
              <w:spacing w:line="240" w:lineRule="auto"/>
              <w:jc w:val="center"/>
              <w:rPr>
                <w:sz w:val="20"/>
              </w:rPr>
            </w:pPr>
            <w:r w:rsidRPr="00694BF7">
              <w:rPr>
                <w:sz w:val="20"/>
              </w:rPr>
              <w:t>15,15%</w:t>
            </w:r>
          </w:p>
        </w:tc>
        <w:tc>
          <w:tcPr>
            <w:tcW w:w="425" w:type="dxa"/>
            <w:vAlign w:val="center"/>
          </w:tcPr>
          <w:p w14:paraId="220362E4" w14:textId="77777777" w:rsidR="000C4D3B" w:rsidRPr="00694BF7" w:rsidRDefault="000C4D3B" w:rsidP="000C4D3B">
            <w:pPr>
              <w:spacing w:line="240" w:lineRule="auto"/>
              <w:jc w:val="center"/>
              <w:rPr>
                <w:sz w:val="20"/>
              </w:rPr>
            </w:pPr>
            <w:r w:rsidRPr="00694BF7">
              <w:rPr>
                <w:sz w:val="20"/>
              </w:rPr>
              <w:t>-</w:t>
            </w:r>
          </w:p>
        </w:tc>
        <w:tc>
          <w:tcPr>
            <w:tcW w:w="1276" w:type="dxa"/>
            <w:gridSpan w:val="2"/>
            <w:vAlign w:val="center"/>
          </w:tcPr>
          <w:p w14:paraId="76F57CA6" w14:textId="77777777" w:rsidR="000C4D3B" w:rsidRPr="00694BF7" w:rsidRDefault="000C4D3B" w:rsidP="000C4D3B">
            <w:pPr>
              <w:spacing w:line="240" w:lineRule="auto"/>
              <w:jc w:val="center"/>
              <w:rPr>
                <w:sz w:val="20"/>
              </w:rPr>
            </w:pPr>
            <w:r w:rsidRPr="00694BF7">
              <w:rPr>
                <w:sz w:val="20"/>
              </w:rPr>
              <w:t>-</w:t>
            </w:r>
          </w:p>
        </w:tc>
      </w:tr>
      <w:tr w:rsidR="000C4D3B" w:rsidRPr="00694BF7" w14:paraId="7106CC3C" w14:textId="77777777" w:rsidTr="000C4D3B">
        <w:trPr>
          <w:trHeight w:val="251"/>
        </w:trPr>
        <w:tc>
          <w:tcPr>
            <w:tcW w:w="1191" w:type="dxa"/>
            <w:vAlign w:val="center"/>
          </w:tcPr>
          <w:p w14:paraId="3A8795C6" w14:textId="77777777" w:rsidR="000C4D3B" w:rsidRPr="00694BF7" w:rsidRDefault="000C4D3B" w:rsidP="000C4D3B">
            <w:pPr>
              <w:spacing w:line="240" w:lineRule="auto"/>
              <w:jc w:val="center"/>
              <w:rPr>
                <w:sz w:val="20"/>
              </w:rPr>
            </w:pPr>
            <w:r w:rsidRPr="00694BF7">
              <w:rPr>
                <w:sz w:val="20"/>
              </w:rPr>
              <w:t>Negatif</w:t>
            </w:r>
          </w:p>
        </w:tc>
        <w:tc>
          <w:tcPr>
            <w:tcW w:w="708" w:type="dxa"/>
            <w:vAlign w:val="center"/>
          </w:tcPr>
          <w:p w14:paraId="7E89B0E1" w14:textId="77777777" w:rsidR="000C4D3B" w:rsidRPr="00694BF7" w:rsidRDefault="000C4D3B" w:rsidP="000C4D3B">
            <w:pPr>
              <w:spacing w:line="240" w:lineRule="auto"/>
              <w:jc w:val="center"/>
              <w:rPr>
                <w:sz w:val="20"/>
              </w:rPr>
            </w:pPr>
            <w:r w:rsidRPr="00694BF7">
              <w:rPr>
                <w:sz w:val="20"/>
              </w:rPr>
              <w:t>28</w:t>
            </w:r>
          </w:p>
        </w:tc>
        <w:tc>
          <w:tcPr>
            <w:tcW w:w="852" w:type="dxa"/>
            <w:vAlign w:val="center"/>
          </w:tcPr>
          <w:p w14:paraId="0353B3C9" w14:textId="77777777" w:rsidR="000C4D3B" w:rsidRPr="00694BF7" w:rsidRDefault="000C4D3B" w:rsidP="000C4D3B">
            <w:pPr>
              <w:spacing w:line="240" w:lineRule="auto"/>
              <w:jc w:val="center"/>
              <w:rPr>
                <w:sz w:val="20"/>
              </w:rPr>
            </w:pPr>
            <w:r w:rsidRPr="00694BF7">
              <w:rPr>
                <w:sz w:val="20"/>
              </w:rPr>
              <w:t>84,85%</w:t>
            </w:r>
          </w:p>
        </w:tc>
        <w:tc>
          <w:tcPr>
            <w:tcW w:w="425" w:type="dxa"/>
            <w:vAlign w:val="center"/>
          </w:tcPr>
          <w:p w14:paraId="3D24C5DD" w14:textId="77777777" w:rsidR="000C4D3B" w:rsidRPr="00694BF7" w:rsidRDefault="000C4D3B" w:rsidP="000C4D3B">
            <w:pPr>
              <w:spacing w:line="240" w:lineRule="auto"/>
              <w:jc w:val="center"/>
              <w:rPr>
                <w:sz w:val="20"/>
              </w:rPr>
            </w:pPr>
            <w:r w:rsidRPr="00694BF7">
              <w:rPr>
                <w:sz w:val="20"/>
              </w:rPr>
              <w:t>-</w:t>
            </w:r>
          </w:p>
        </w:tc>
        <w:tc>
          <w:tcPr>
            <w:tcW w:w="1276" w:type="dxa"/>
            <w:gridSpan w:val="2"/>
            <w:vAlign w:val="center"/>
          </w:tcPr>
          <w:p w14:paraId="46C790B2" w14:textId="77777777" w:rsidR="000C4D3B" w:rsidRPr="00694BF7" w:rsidRDefault="000C4D3B" w:rsidP="000C4D3B">
            <w:pPr>
              <w:spacing w:line="240" w:lineRule="auto"/>
              <w:jc w:val="center"/>
              <w:rPr>
                <w:sz w:val="20"/>
              </w:rPr>
            </w:pPr>
            <w:r w:rsidRPr="00694BF7">
              <w:rPr>
                <w:sz w:val="20"/>
              </w:rPr>
              <w:t>-</w:t>
            </w:r>
            <w:commentRangeEnd w:id="10"/>
            <w:r w:rsidR="00FB4950" w:rsidRPr="00694BF7">
              <w:rPr>
                <w:rStyle w:val="CommentReference"/>
                <w:sz w:val="20"/>
                <w:szCs w:val="20"/>
              </w:rPr>
              <w:commentReference w:id="10"/>
            </w:r>
          </w:p>
        </w:tc>
      </w:tr>
    </w:tbl>
    <w:p w14:paraId="2CD61641" w14:textId="41A38EA9" w:rsidR="000C4D3B" w:rsidRPr="00FB4497" w:rsidRDefault="00694BF7" w:rsidP="000C4D3B">
      <w:pPr>
        <w:pStyle w:val="NormalWeb"/>
        <w:spacing w:after="0" w:line="240" w:lineRule="auto"/>
        <w:ind w:firstLine="720"/>
        <w:jc w:val="both"/>
        <w:rPr>
          <w:lang w:val="en-US"/>
        </w:rPr>
      </w:pPr>
      <w:r w:rsidRPr="00FB4497">
        <w:t>Pada penelitian ini, antibiotik empiris</w:t>
      </w:r>
      <w:r w:rsidRPr="00FB4497">
        <w:rPr>
          <w:lang w:val="en-US"/>
        </w:rPr>
        <w:t xml:space="preserve"> yang digunakan terdapat 2</w:t>
      </w:r>
      <w:r w:rsidRPr="00FB4497">
        <w:t xml:space="preserve"> </w:t>
      </w:r>
      <w:r w:rsidRPr="00FB4497">
        <w:rPr>
          <w:lang w:val="en-US"/>
        </w:rPr>
        <w:t xml:space="preserve">lini, lini pertama yang </w:t>
      </w:r>
      <w:r w:rsidRPr="00FB4497">
        <w:t xml:space="preserve">paling banyak digunakan adalah kombinasi </w:t>
      </w:r>
      <w:r w:rsidRPr="00FB4497">
        <w:rPr>
          <w:lang w:val="en-US"/>
        </w:rPr>
        <w:t>ampi</w:t>
      </w:r>
      <w:r w:rsidRPr="00FB4497">
        <w:t>silin-gentamisin sebesar 60,61%</w:t>
      </w:r>
      <w:r w:rsidRPr="00FB4497">
        <w:rPr>
          <w:lang w:val="en-US"/>
        </w:rPr>
        <w:t xml:space="preserve"> (20 kasus</w:t>
      </w:r>
      <w:r w:rsidRPr="00FB4497">
        <w:t>),</w:t>
      </w:r>
      <w:r w:rsidRPr="00FB4497">
        <w:rPr>
          <w:lang w:val="en-US"/>
        </w:rPr>
        <w:t xml:space="preserve"> sedangkan lini kedua adalah kombinasi meropenem-amikasin</w:t>
      </w:r>
      <w:r w:rsidR="00FB4950">
        <w:rPr>
          <w:lang w:val="en-US"/>
        </w:rPr>
        <w:t xml:space="preserve"> yang</w:t>
      </w:r>
      <w:r w:rsidRPr="00FB4497">
        <w:rPr>
          <w:lang w:val="en-US"/>
        </w:rPr>
        <w:t xml:space="preserve"> digunakan sebesar </w:t>
      </w:r>
      <w:r w:rsidR="000C4D3B" w:rsidRPr="00FB4497">
        <w:t>39</w:t>
      </w:r>
      <w:r w:rsidRPr="00FB4497">
        <w:rPr>
          <w:lang w:val="en-US"/>
        </w:rPr>
        <w:t>,</w:t>
      </w:r>
      <w:r w:rsidR="000C4D3B" w:rsidRPr="00FB4497">
        <w:t>39</w:t>
      </w:r>
      <w:r w:rsidRPr="00FB4497">
        <w:rPr>
          <w:lang w:val="en-US"/>
        </w:rPr>
        <w:t>% (</w:t>
      </w:r>
      <w:r w:rsidR="000C4D3B" w:rsidRPr="00FB4497">
        <w:t>11</w:t>
      </w:r>
      <w:r w:rsidRPr="00FB4497">
        <w:rPr>
          <w:lang w:val="en-US"/>
        </w:rPr>
        <w:t xml:space="preserve"> kasus)</w:t>
      </w:r>
      <w:r w:rsidRPr="00FB4497">
        <w:t>.</w:t>
      </w:r>
      <w:r w:rsidRPr="00FB4497">
        <w:rPr>
          <w:lang w:val="en-US"/>
        </w:rPr>
        <w:t xml:space="preserve"> </w:t>
      </w:r>
      <w:r w:rsidR="000C4D3B" w:rsidRPr="00FB4497">
        <w:t xml:space="preserve">Pemilihan </w:t>
      </w:r>
      <w:r w:rsidR="000C4D3B" w:rsidRPr="00FB4497">
        <w:rPr>
          <w:lang w:val="en-US"/>
        </w:rPr>
        <w:t>ampisilin-gentamisin</w:t>
      </w:r>
      <w:r w:rsidR="000C4D3B" w:rsidRPr="00FB4497">
        <w:t xml:space="preserve"> sebagai terapi </w:t>
      </w:r>
      <w:r w:rsidR="000C4D3B" w:rsidRPr="00FB4497">
        <w:rPr>
          <w:lang w:val="en-US"/>
        </w:rPr>
        <w:t>lini pertama</w:t>
      </w:r>
      <w:r w:rsidR="000C4D3B" w:rsidRPr="00FB4497">
        <w:t xml:space="preserve"> sejalan dengan </w:t>
      </w:r>
      <w:r w:rsidR="00FB4950">
        <w:rPr>
          <w:lang w:val="en-US"/>
        </w:rPr>
        <w:t>pedoman</w:t>
      </w:r>
      <w:r w:rsidR="000C4D3B" w:rsidRPr="00FB4497">
        <w:t xml:space="preserve"> ampisilin atau penisilin dengan gentamisin merupakan terapi empiris lini pertama untuk sepsis onset dini</w:t>
      </w:r>
      <w:r w:rsidR="000C4D3B" w:rsidRPr="00FB4497">
        <w:rPr>
          <w:lang w:val="en-US"/>
        </w:rPr>
        <w:t xml:space="preserve"> </w:t>
      </w:r>
      <w:r w:rsidR="000C4D3B" w:rsidRPr="00FB4497">
        <w:t xml:space="preserve">karena memiliki cakupan terhadap kuman Gram positif seperti </w:t>
      </w:r>
      <w:r w:rsidR="000C4D3B" w:rsidRPr="00FB4497">
        <w:rPr>
          <w:rStyle w:val="Emphasis"/>
        </w:rPr>
        <w:t>Streptococcus group B</w:t>
      </w:r>
      <w:r w:rsidR="000C4D3B" w:rsidRPr="00FB4497">
        <w:t xml:space="preserve"> serta Gram negatif seperti </w:t>
      </w:r>
      <w:r w:rsidR="000C4D3B" w:rsidRPr="00FB4497">
        <w:rPr>
          <w:rStyle w:val="Emphasis"/>
        </w:rPr>
        <w:t>Escherichia coli</w:t>
      </w:r>
      <w:r w:rsidR="000C4D3B" w:rsidRPr="00FB4497">
        <w:t xml:space="preserve"> </w:t>
      </w:r>
      <w:r w:rsidR="000C4D3B" w:rsidRPr="00FB4950">
        <w:rPr>
          <w:highlight w:val="yellow"/>
        </w:rPr>
        <w:t>(Klingenberg et al., 2018)</w:t>
      </w:r>
      <w:r w:rsidR="000C4D3B" w:rsidRPr="00FB4950">
        <w:rPr>
          <w:highlight w:val="yellow"/>
          <w:lang w:val="en-US"/>
        </w:rPr>
        <w:t xml:space="preserve"> </w:t>
      </w:r>
      <w:r w:rsidR="000C4D3B" w:rsidRPr="00FB4950">
        <w:rPr>
          <w:highlight w:val="yellow"/>
        </w:rPr>
        <w:t>(Shane et al., 2017</w:t>
      </w:r>
      <w:r w:rsidR="000C4D3B" w:rsidRPr="00FB4950">
        <w:rPr>
          <w:highlight w:val="yellow"/>
          <w:lang w:val="en-US"/>
        </w:rPr>
        <w:t>).</w:t>
      </w:r>
      <w:r w:rsidR="000C4D3B" w:rsidRPr="00FB4497">
        <w:rPr>
          <w:lang w:val="en-US"/>
        </w:rPr>
        <w:t xml:space="preserve"> </w:t>
      </w:r>
      <w:r w:rsidR="000C4D3B" w:rsidRPr="00FB4497">
        <w:t xml:space="preserve">Penelitian terbaru juga menunjukkan bahwa penggunaan kombinasi ini tetap efektif dan aman pada neonatus, serta dapat menurunkan mortalitas bila diberikan tepat waktu (Stocker </w:t>
      </w:r>
      <w:r w:rsidR="000C4D3B" w:rsidRPr="004A6884">
        <w:rPr>
          <w:i/>
          <w:iCs/>
        </w:rPr>
        <w:t>et al</w:t>
      </w:r>
      <w:r w:rsidR="000C4D3B" w:rsidRPr="00FB4497">
        <w:t>., 2024).</w:t>
      </w:r>
      <w:r w:rsidR="000C4D3B" w:rsidRPr="00FB4497">
        <w:rPr>
          <w:lang w:val="en-US"/>
        </w:rPr>
        <w:t xml:space="preserve"> </w:t>
      </w:r>
      <w:r w:rsidR="000C4D3B" w:rsidRPr="00FB4497">
        <w:t xml:space="preserve">Penggunaan kombinasi meropenem–amikasin </w:t>
      </w:r>
      <w:r w:rsidR="000C4D3B" w:rsidRPr="00FB4497">
        <w:rPr>
          <w:lang w:val="en-US"/>
        </w:rPr>
        <w:t>sebesar</w:t>
      </w:r>
      <w:r w:rsidR="000C4D3B" w:rsidRPr="00FB4497">
        <w:t xml:space="preserve"> 39,40% mengindikasikan adanya kasus dengan dugaan infeksi berat atau risiko </w:t>
      </w:r>
      <w:r w:rsidR="004A6884" w:rsidRPr="004A6884">
        <w:rPr>
          <w:i/>
          <w:iCs/>
        </w:rPr>
        <w:t>multidrug-resistant</w:t>
      </w:r>
      <w:r w:rsidR="000C4D3B" w:rsidRPr="004A6884">
        <w:rPr>
          <w:i/>
          <w:iCs/>
        </w:rPr>
        <w:t xml:space="preserve"> organism</w:t>
      </w:r>
      <w:r w:rsidR="000C4D3B" w:rsidRPr="00FB4497">
        <w:t xml:space="preserve"> (MDRO)</w:t>
      </w:r>
      <w:r w:rsidR="004A6884">
        <w:t>,</w:t>
      </w:r>
      <w:r w:rsidR="000C4D3B" w:rsidRPr="00FB4497">
        <w:t xml:space="preserve"> tetapi penggunaan antibiotik meropenem harus dibatasi dan diawasi ketat melalui program </w:t>
      </w:r>
      <w:r w:rsidR="000C4D3B" w:rsidRPr="004A6884">
        <w:rPr>
          <w:i/>
          <w:iCs/>
        </w:rPr>
        <w:t>antimicrobial stewardship</w:t>
      </w:r>
      <w:r w:rsidR="000C4D3B" w:rsidRPr="00FB4497">
        <w:t xml:space="preserve"> </w:t>
      </w:r>
      <w:r w:rsidR="000C4D3B" w:rsidRPr="00FB4497">
        <w:lastRenderedPageBreak/>
        <w:t>karena berisiko meningkatkan resistensi di unit NICU (Bizzarro &amp; Gallagher, 2020).</w:t>
      </w:r>
    </w:p>
    <w:p w14:paraId="3C172882" w14:textId="77777777" w:rsidR="004A6884" w:rsidRDefault="00FB4497" w:rsidP="00FB4497">
      <w:pPr>
        <w:pStyle w:val="NormalWeb"/>
        <w:spacing w:after="0" w:line="240" w:lineRule="auto"/>
        <w:ind w:firstLine="720"/>
        <w:jc w:val="both"/>
        <w:rPr>
          <w:lang w:val="en-US"/>
        </w:rPr>
      </w:pPr>
      <w:r w:rsidRPr="00FB4497">
        <w:rPr>
          <w:lang w:val="en-US"/>
        </w:rPr>
        <w:t>Durasi penggunaan pada penelitian ini dipilih</w:t>
      </w:r>
      <w:r w:rsidRPr="00FB4497">
        <w:t xml:space="preserve"> </w:t>
      </w:r>
      <w:r w:rsidR="004A6884">
        <w:t>≤ 7</w:t>
      </w:r>
      <w:r w:rsidRPr="00FB4497">
        <w:t xml:space="preserve"> hari. Hal ini </w:t>
      </w:r>
      <w:r w:rsidRPr="00FB4497">
        <w:rPr>
          <w:lang w:val="en-US"/>
        </w:rPr>
        <w:t>sejalan</w:t>
      </w:r>
      <w:r w:rsidRPr="00FB4497">
        <w:t xml:space="preserve"> dengan pedoman </w:t>
      </w:r>
      <w:r w:rsidRPr="00FB4497">
        <w:rPr>
          <w:i/>
        </w:rPr>
        <w:t>American Academy of Pediatrics</w:t>
      </w:r>
      <w:r w:rsidRPr="00FB4497">
        <w:t xml:space="preserve"> (AAP), yang merekomendasikan penghentian antibiotik pada hari ke</w:t>
      </w:r>
      <w:r w:rsidR="004A6884">
        <w:t xml:space="preserve"> </w:t>
      </w:r>
      <w:r w:rsidRPr="00FB4497">
        <w:t xml:space="preserve">5–7 apabila hasil kultur darah negatif dan kondisi klinis pasien membaik (Polin &amp; Committee on Fetus and Newborn, 2018). </w:t>
      </w:r>
      <w:r w:rsidRPr="00FB4497">
        <w:rPr>
          <w:lang w:val="en-US"/>
        </w:rPr>
        <w:t xml:space="preserve">Hal ini juga didukung oleh </w:t>
      </w:r>
      <w:r w:rsidRPr="00FB4497">
        <w:t xml:space="preserve">penelitian </w:t>
      </w:r>
      <w:r w:rsidRPr="00FB4497">
        <w:rPr>
          <w:lang w:val="en-US"/>
        </w:rPr>
        <w:t xml:space="preserve">yang dilakukan oleh </w:t>
      </w:r>
      <w:r w:rsidRPr="00FB4497">
        <w:t xml:space="preserve">Cotten </w:t>
      </w:r>
      <w:r w:rsidR="004A6884">
        <w:t>(</w:t>
      </w:r>
      <w:r w:rsidRPr="00FB4497">
        <w:t>2020</w:t>
      </w:r>
      <w:r w:rsidR="004A6884">
        <w:t>)</w:t>
      </w:r>
      <w:r w:rsidRPr="00FB4497">
        <w:t xml:space="preserve"> yang menegaskan bahwa penggunaan antibiotik lebih dari satu minggu pada neonatus tanpa konfirmasi infeksi terbukti meningkatkan risiko </w:t>
      </w:r>
      <w:r w:rsidRPr="004A6884">
        <w:rPr>
          <w:i/>
          <w:iCs/>
        </w:rPr>
        <w:t>nekrotizing enterocolitis</w:t>
      </w:r>
      <w:r w:rsidRPr="00FB4497">
        <w:t xml:space="preserve">, gangguan kolonisasi mikrobiota usus, serta resistensi antibiotik. Selain itu, penelitian Tzialla </w:t>
      </w:r>
      <w:r w:rsidRPr="004A6884">
        <w:rPr>
          <w:i/>
          <w:iCs/>
        </w:rPr>
        <w:t>et al</w:t>
      </w:r>
      <w:r w:rsidRPr="00FB4497">
        <w:t xml:space="preserve">. </w:t>
      </w:r>
      <w:r w:rsidR="004A6884">
        <w:t>(</w:t>
      </w:r>
      <w:r w:rsidRPr="00FB4497">
        <w:t>2021</w:t>
      </w:r>
      <w:r w:rsidR="004A6884">
        <w:t>)</w:t>
      </w:r>
      <w:r w:rsidRPr="00FB4497">
        <w:t xml:space="preserve"> menunjukkan bahwa paparan antibiotik jangka panjang pada neonatus dapat memengaruhi perkembangan sistem imun dan meningkatkan risiko penyakit alergi pada masa anak.</w:t>
      </w:r>
      <w:r w:rsidRPr="00FB4497">
        <w:rPr>
          <w:lang w:val="en-US"/>
        </w:rPr>
        <w:t xml:space="preserve"> </w:t>
      </w:r>
    </w:p>
    <w:p w14:paraId="2C208A37" w14:textId="61E33E2E" w:rsidR="00FB4497" w:rsidRPr="00FB4497" w:rsidRDefault="00FB4497" w:rsidP="00FB4497">
      <w:pPr>
        <w:pStyle w:val="NormalWeb"/>
        <w:spacing w:after="0" w:line="240" w:lineRule="auto"/>
        <w:ind w:firstLine="720"/>
        <w:jc w:val="both"/>
        <w:rPr>
          <w:lang w:val="en-US"/>
        </w:rPr>
      </w:pPr>
      <w:r w:rsidRPr="00FB4497">
        <w:rPr>
          <w:lang w:val="en-US"/>
        </w:rPr>
        <w:t>Lama penggunaan dari kedua lini antibiotik sebagian besar diberikan ≤</w:t>
      </w:r>
      <w:r w:rsidR="004A6884">
        <w:rPr>
          <w:lang w:val="en-US"/>
        </w:rPr>
        <w:t xml:space="preserve"> </w:t>
      </w:r>
      <w:r w:rsidRPr="00FB4497">
        <w:rPr>
          <w:lang w:val="en-US"/>
        </w:rPr>
        <w:t>7 hari, yaitu 14 pasien pada kelompok lini pertama (kombinasi ampisilin-gentamisin) dan 13 pasien pada kelompok lini kedua (kombinasi meropenem–amikasin). Sementara itu, penggunaan &gt;</w:t>
      </w:r>
      <w:r w:rsidR="004A6884">
        <w:rPr>
          <w:lang w:val="en-US"/>
        </w:rPr>
        <w:t xml:space="preserve"> </w:t>
      </w:r>
      <w:r w:rsidRPr="00FB4497">
        <w:rPr>
          <w:lang w:val="en-US"/>
        </w:rPr>
        <w:t>7 hari hanya ditemukan pada 6 pasien dengan kombinasi ampisilin-gentamisin.</w:t>
      </w:r>
      <w:r w:rsidRPr="00FB4497">
        <w:t xml:space="preserve"> Hal ini menunjukkan bahwa kombinasi ampisilin-gentamisin sebagai lini pertama masih cukup efektif dalam menangani sebagian besar kasus, meskipun </w:t>
      </w:r>
      <w:r w:rsidRPr="00FB4497">
        <w:rPr>
          <w:lang w:val="en-US"/>
        </w:rPr>
        <w:t>masih ditemukan 18,19% (6 pasien)</w:t>
      </w:r>
      <w:r w:rsidRPr="00FB4497">
        <w:t xml:space="preserve"> yang memerlukan perpanjangan terapi. </w:t>
      </w:r>
    </w:p>
    <w:p w14:paraId="197BFE4D" w14:textId="77777777" w:rsidR="004A6884" w:rsidRDefault="00FB4497" w:rsidP="00FB4497">
      <w:pPr>
        <w:pStyle w:val="NormalWeb"/>
        <w:spacing w:after="0" w:line="240" w:lineRule="auto"/>
        <w:ind w:firstLine="720"/>
        <w:jc w:val="both"/>
        <w:rPr>
          <w:lang w:val="en-US"/>
        </w:rPr>
      </w:pPr>
      <w:r w:rsidRPr="00FB4497">
        <w:rPr>
          <w:lang w:val="en-US"/>
        </w:rPr>
        <w:t>Pada kelompok lini kedua</w:t>
      </w:r>
      <w:r w:rsidRPr="00FB4497">
        <w:t xml:space="preserve"> </w:t>
      </w:r>
      <w:r w:rsidRPr="00FB4497">
        <w:rPr>
          <w:lang w:val="en-US"/>
        </w:rPr>
        <w:t>(</w:t>
      </w:r>
      <w:r w:rsidRPr="00FB4497">
        <w:t xml:space="preserve">kombinasi </w:t>
      </w:r>
      <w:r w:rsidRPr="00FB4497">
        <w:rPr>
          <w:rStyle w:val="Emphasis"/>
          <w:i w:val="0"/>
        </w:rPr>
        <w:t xml:space="preserve">meropenem-amikasin) </w:t>
      </w:r>
      <w:r w:rsidRPr="00FB4497">
        <w:t xml:space="preserve">berjumlah 13 </w:t>
      </w:r>
      <w:r w:rsidRPr="00FB4497">
        <w:rPr>
          <w:lang w:val="en-US"/>
        </w:rPr>
        <w:t xml:space="preserve">pasien </w:t>
      </w:r>
      <w:r w:rsidRPr="00FB4497">
        <w:t xml:space="preserve">(39,4%) dengan durasi </w:t>
      </w:r>
      <w:r w:rsidRPr="00FB4497">
        <w:rPr>
          <w:lang w:val="en-US"/>
        </w:rPr>
        <w:t xml:space="preserve">penggunaan </w:t>
      </w:r>
      <w:r w:rsidRPr="00FB4497">
        <w:t>≤</w:t>
      </w:r>
      <w:r w:rsidR="004A6884">
        <w:t xml:space="preserve"> </w:t>
      </w:r>
      <w:r w:rsidRPr="00FB4497">
        <w:t xml:space="preserve">7 hari. </w:t>
      </w:r>
      <w:r w:rsidRPr="00FB4497">
        <w:rPr>
          <w:lang w:val="en-US"/>
        </w:rPr>
        <w:t xml:space="preserve">Kombinasi antibiotik lini kedua diberikan pada kondisi sepsis neonatus yang dirujuk dari rumah sakit lain dan dengan klasifikasi late onset. </w:t>
      </w:r>
      <w:r w:rsidRPr="00FB4497">
        <w:t xml:space="preserve">Fakta ini mengindikasikan bahwa penggunaan </w:t>
      </w:r>
      <w:r w:rsidRPr="00FB4497">
        <w:rPr>
          <w:rStyle w:val="Emphasis"/>
          <w:i w:val="0"/>
        </w:rPr>
        <w:t>meropenem</w:t>
      </w:r>
      <w:r w:rsidRPr="00FB4497">
        <w:t xml:space="preserve">, yang termasuk antibiotik spektrum luas golongan karbapenem, dapat memberikan perbaikan klinis lebih cepat pada kasus infeksi berat atau kuman yang resisten. </w:t>
      </w:r>
      <w:r w:rsidRPr="00FB4497">
        <w:rPr>
          <w:rStyle w:val="Emphasis"/>
          <w:i w:val="0"/>
        </w:rPr>
        <w:t>Meropenem</w:t>
      </w:r>
      <w:r w:rsidRPr="00FB4497">
        <w:rPr>
          <w:i/>
        </w:rPr>
        <w:t xml:space="preserve"> </w:t>
      </w:r>
      <w:r w:rsidRPr="00FB4497">
        <w:t xml:space="preserve">terbukti efektif terhadap bakteri Gram negatif </w:t>
      </w:r>
      <w:r w:rsidRPr="00FB4497">
        <w:t xml:space="preserve">resisten, termasuk </w:t>
      </w:r>
      <w:r w:rsidRPr="00FB4497">
        <w:rPr>
          <w:rStyle w:val="Emphasis"/>
        </w:rPr>
        <w:t>Enterobacteriaceae</w:t>
      </w:r>
      <w:r w:rsidRPr="00FB4497">
        <w:t xml:space="preserve"> penghasil ESBL dan </w:t>
      </w:r>
      <w:r w:rsidRPr="00FB4497">
        <w:rPr>
          <w:rStyle w:val="Emphasis"/>
        </w:rPr>
        <w:t>Pseudomonas aeruginosa</w:t>
      </w:r>
      <w:r w:rsidRPr="00FB4497">
        <w:t xml:space="preserve"> (Cotten, 2016). Namun demikian, penggunaannya harus bijak karena pemakaian yang tidak rasional dapat mempercepat munculnya resistensi karbapenem, yang saat ini menjadi tantangan global (WHO, 2020).</w:t>
      </w:r>
      <w:r w:rsidRPr="00FB4497">
        <w:rPr>
          <w:lang w:val="en-US"/>
        </w:rPr>
        <w:t xml:space="preserve"> </w:t>
      </w:r>
    </w:p>
    <w:p w14:paraId="77632835" w14:textId="0ABB17E7" w:rsidR="00FB4497" w:rsidRPr="00FB4497" w:rsidRDefault="00FB4497" w:rsidP="00FB4497">
      <w:pPr>
        <w:pStyle w:val="NormalWeb"/>
        <w:spacing w:after="0" w:line="240" w:lineRule="auto"/>
        <w:ind w:firstLine="720"/>
        <w:jc w:val="both"/>
      </w:pPr>
      <w:commentRangeStart w:id="11"/>
      <w:r w:rsidRPr="00FB4497">
        <w:t xml:space="preserve">Durasi terapi antibiotik pada sepsis neonatus umumnya berkisar 7–10 hari, tetapi dapat diperpanjang hingga 14–21 hari bila terdapat komplikasi seperti meningitis atau respon klinis yang lambat (Shane et al., 2017). Pada penelitian ini, mayoritas pasien (81,8%) menjalani terapi ≤7 hari baik dengan kombinasi </w:t>
      </w:r>
      <w:r w:rsidRPr="00FB4497">
        <w:rPr>
          <w:rStyle w:val="Emphasis"/>
          <w:i w:val="0"/>
        </w:rPr>
        <w:t>ampisilin-gentamisin</w:t>
      </w:r>
      <w:r w:rsidRPr="00FB4497">
        <w:rPr>
          <w:i/>
        </w:rPr>
        <w:t xml:space="preserve"> </w:t>
      </w:r>
      <w:r w:rsidRPr="00FB4497">
        <w:t>maupun</w:t>
      </w:r>
      <w:r w:rsidRPr="00FB4497">
        <w:rPr>
          <w:i/>
        </w:rPr>
        <w:t xml:space="preserve"> </w:t>
      </w:r>
      <w:r w:rsidRPr="00FB4497">
        <w:rPr>
          <w:lang w:val="en-US"/>
        </w:rPr>
        <w:t>kombinasi</w:t>
      </w:r>
      <w:r w:rsidRPr="00FB4497">
        <w:rPr>
          <w:i/>
          <w:lang w:val="en-US"/>
        </w:rPr>
        <w:t xml:space="preserve"> </w:t>
      </w:r>
      <w:r w:rsidRPr="00FB4497">
        <w:rPr>
          <w:rStyle w:val="Emphasis"/>
          <w:i w:val="0"/>
        </w:rPr>
        <w:t>meropenem-amikasin</w:t>
      </w:r>
      <w:r w:rsidRPr="00FB4497">
        <w:t xml:space="preserve">. Hal ini mencerminkan bahwa sebagian besar pasien menunjukkan respon yang baik terhadap terapi awal. </w:t>
      </w:r>
      <w:commentRangeEnd w:id="11"/>
      <w:r w:rsidR="00C37CFA" w:rsidRPr="00FB4497">
        <w:rPr>
          <w:rStyle w:val="CommentReference"/>
          <w:sz w:val="24"/>
          <w:szCs w:val="24"/>
        </w:rPr>
        <w:commentReference w:id="11"/>
      </w:r>
    </w:p>
    <w:p w14:paraId="320A7D5B" w14:textId="77777777" w:rsidR="000C4D3B" w:rsidRDefault="00FB4497" w:rsidP="00FB4497">
      <w:pPr>
        <w:spacing w:line="240" w:lineRule="auto"/>
        <w:ind w:right="45" w:firstLine="567"/>
      </w:pPr>
      <w:r w:rsidRPr="005929F5">
        <w:rPr>
          <w:noProof/>
        </w:rPr>
        <w:drawing>
          <wp:inline distT="0" distB="0" distL="0" distR="0" wp14:anchorId="40501BDE" wp14:editId="5C49E5C5">
            <wp:extent cx="2349500" cy="2374900"/>
            <wp:effectExtent l="0" t="0" r="0" b="0"/>
            <wp:docPr id="1675798153"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9500" cy="2374900"/>
                    </a:xfrm>
                    <a:prstGeom prst="rect">
                      <a:avLst/>
                    </a:prstGeom>
                    <a:noFill/>
                    <a:ln>
                      <a:noFill/>
                    </a:ln>
                  </pic:spPr>
                </pic:pic>
              </a:graphicData>
            </a:graphic>
          </wp:inline>
        </w:drawing>
      </w:r>
    </w:p>
    <w:p w14:paraId="5777C886" w14:textId="0318476F" w:rsidR="00D24FD8" w:rsidRPr="00FB4497" w:rsidRDefault="00D24FD8" w:rsidP="00FB4497">
      <w:pPr>
        <w:pStyle w:val="Addresses"/>
        <w:spacing w:line="240" w:lineRule="auto"/>
        <w:rPr>
          <w:b/>
          <w:bCs/>
          <w:i w:val="0"/>
          <w:szCs w:val="24"/>
        </w:rPr>
      </w:pPr>
      <w:commentRangeStart w:id="12"/>
      <w:r w:rsidRPr="00FB4497">
        <w:rPr>
          <w:b/>
          <w:bCs/>
          <w:i w:val="0"/>
          <w:szCs w:val="24"/>
        </w:rPr>
        <w:t>G</w:t>
      </w:r>
      <w:r w:rsidR="00FB4497">
        <w:rPr>
          <w:b/>
          <w:bCs/>
          <w:i w:val="0"/>
          <w:szCs w:val="24"/>
        </w:rPr>
        <w:t>ambar</w:t>
      </w:r>
      <w:r w:rsidRPr="00FB4497">
        <w:rPr>
          <w:b/>
          <w:bCs/>
          <w:i w:val="0"/>
          <w:szCs w:val="24"/>
        </w:rPr>
        <w:t xml:space="preserve"> 1</w:t>
      </w:r>
      <w:r w:rsidR="00C37CFA">
        <w:rPr>
          <w:b/>
          <w:bCs/>
          <w:i w:val="0"/>
          <w:szCs w:val="24"/>
        </w:rPr>
        <w:t>.</w:t>
      </w:r>
      <w:r w:rsidRPr="00FB4497">
        <w:rPr>
          <w:b/>
          <w:bCs/>
          <w:i w:val="0"/>
          <w:szCs w:val="24"/>
        </w:rPr>
        <w:t xml:space="preserve"> </w:t>
      </w:r>
      <w:r w:rsidR="00FB4497" w:rsidRPr="00FB4497">
        <w:rPr>
          <w:b/>
          <w:bCs/>
          <w:i w:val="0"/>
          <w:szCs w:val="24"/>
        </w:rPr>
        <w:t xml:space="preserve">Outcome Klinis Kesembuhan </w:t>
      </w:r>
      <w:commentRangeEnd w:id="12"/>
      <w:r w:rsidR="00C37CFA" w:rsidRPr="00FB4497">
        <w:rPr>
          <w:rStyle w:val="CommentReference"/>
          <w:b/>
          <w:bCs/>
          <w:i w:val="0"/>
          <w:sz w:val="24"/>
          <w:szCs w:val="24"/>
        </w:rPr>
        <w:commentReference w:id="12"/>
      </w:r>
    </w:p>
    <w:p w14:paraId="2954ACED" w14:textId="77777777" w:rsidR="00D24FD8" w:rsidRDefault="00D24FD8" w:rsidP="00D24FD8">
      <w:pPr>
        <w:pStyle w:val="Addresses"/>
        <w:spacing w:line="240" w:lineRule="auto"/>
        <w:jc w:val="left"/>
        <w:rPr>
          <w:i w:val="0"/>
          <w:color w:val="FF0000"/>
        </w:rPr>
      </w:pPr>
    </w:p>
    <w:p w14:paraId="307AB752" w14:textId="5B1D2F2E" w:rsidR="00FB4497" w:rsidRPr="00FB4497" w:rsidRDefault="00FB4497" w:rsidP="00FB4497">
      <w:pPr>
        <w:pStyle w:val="NormalWeb"/>
        <w:spacing w:after="0" w:line="240" w:lineRule="auto"/>
        <w:ind w:firstLine="720"/>
        <w:jc w:val="both"/>
        <w:rPr>
          <w:lang w:val="en-US"/>
        </w:rPr>
      </w:pPr>
      <w:r w:rsidRPr="00FB4497">
        <w:t xml:space="preserve">Pada gambar </w:t>
      </w:r>
      <w:r w:rsidR="00C37CFA">
        <w:t>1</w:t>
      </w:r>
      <w:r w:rsidRPr="00FB4497">
        <w:t xml:space="preserve"> terlihat bahwa kombinasi </w:t>
      </w:r>
      <w:r w:rsidRPr="00FB4497">
        <w:rPr>
          <w:rStyle w:val="Emphasis"/>
          <w:i w:val="0"/>
        </w:rPr>
        <w:t>ampisilin-gentamisin</w:t>
      </w:r>
      <w:r w:rsidRPr="00FB4497">
        <w:rPr>
          <w:i/>
        </w:rPr>
        <w:t xml:space="preserve"> </w:t>
      </w:r>
      <w:r w:rsidRPr="00FB4497">
        <w:t>maupun</w:t>
      </w:r>
      <w:r w:rsidRPr="00FB4497">
        <w:rPr>
          <w:i/>
        </w:rPr>
        <w:t xml:space="preserve"> </w:t>
      </w:r>
      <w:r w:rsidRPr="00FB4497">
        <w:rPr>
          <w:rStyle w:val="Emphasis"/>
          <w:i w:val="0"/>
        </w:rPr>
        <w:t>meropenem-amikasin</w:t>
      </w:r>
      <w:r w:rsidRPr="00FB4497">
        <w:t xml:space="preserve"> sama-sama </w:t>
      </w:r>
      <w:commentRangeStart w:id="13"/>
      <w:r w:rsidRPr="00FB4497">
        <w:t xml:space="preserve">memberikan angka kesembuhan yang tinggi, </w:t>
      </w:r>
      <w:commentRangeEnd w:id="13"/>
      <w:r w:rsidR="00C37CFA" w:rsidRPr="00FB4497">
        <w:rPr>
          <w:rStyle w:val="CommentReference"/>
          <w:sz w:val="24"/>
          <w:szCs w:val="24"/>
        </w:rPr>
        <w:commentReference w:id="13"/>
      </w:r>
      <w:r w:rsidRPr="00FB4497">
        <w:t xml:space="preserve">masing-masing 19 pasien dan 12 pasien. Angka kematian relatif rendah pada kedua kelompok (masing-masing 1 pasien), menunjukkan bahwa kedua regimen masih efektif dalam tata laksana sepsis neonatus. Temuan ini sesuai dengan rekomendasi WHO (2023) yang menempatkan </w:t>
      </w:r>
      <w:r w:rsidRPr="00FB4497">
        <w:rPr>
          <w:rStyle w:val="Emphasis"/>
          <w:i w:val="0"/>
        </w:rPr>
        <w:t>ampisilin-gentamisin</w:t>
      </w:r>
      <w:r w:rsidRPr="00FB4497">
        <w:rPr>
          <w:i/>
        </w:rPr>
        <w:t xml:space="preserve"> </w:t>
      </w:r>
      <w:r w:rsidRPr="00FB4497">
        <w:t xml:space="preserve">sebagai terapi empiris lini pertama karena efektif terhadap sebagian besar bakteri </w:t>
      </w:r>
      <w:r w:rsidRPr="00FB4497">
        <w:rPr>
          <w:i/>
          <w:lang w:val="en-US"/>
        </w:rPr>
        <w:t>early onset sepsis</w:t>
      </w:r>
      <w:r w:rsidRPr="00FB4497">
        <w:t xml:space="preserve">. Sementara itu, penggunaan </w:t>
      </w:r>
      <w:r w:rsidRPr="00FB4497">
        <w:rPr>
          <w:rStyle w:val="Emphasis"/>
          <w:i w:val="0"/>
        </w:rPr>
        <w:t>meropenem-amikasin</w:t>
      </w:r>
      <w:r w:rsidRPr="00FB4497">
        <w:t xml:space="preserve"> </w:t>
      </w:r>
      <w:r w:rsidRPr="00FB4497">
        <w:lastRenderedPageBreak/>
        <w:t>biasanya dipilih pada kasus dengan kondisi klinis lebih berat atau adanya dugaan infeksi oleh kuman resisten, misalnya infeksi nosokomial.</w:t>
      </w:r>
      <w:r w:rsidRPr="00FB4497">
        <w:rPr>
          <w:lang w:val="en-US"/>
        </w:rPr>
        <w:t xml:space="preserve"> </w:t>
      </w:r>
    </w:p>
    <w:p w14:paraId="6ED7999B" w14:textId="77777777" w:rsidR="00FB4497" w:rsidRDefault="00FB4497" w:rsidP="00FB4497">
      <w:pPr>
        <w:pStyle w:val="NormalWeb"/>
        <w:spacing w:after="0" w:line="240" w:lineRule="auto"/>
        <w:ind w:firstLine="720"/>
        <w:jc w:val="both"/>
        <w:rPr>
          <w:sz w:val="22"/>
          <w:szCs w:val="22"/>
          <w:lang w:val="en-US"/>
        </w:rPr>
      </w:pPr>
      <w:r>
        <w:rPr>
          <w:noProof/>
        </w:rPr>
        <w:drawing>
          <wp:inline distT="0" distB="0" distL="0" distR="0" wp14:anchorId="432E3E13" wp14:editId="49F53262">
            <wp:extent cx="2387600" cy="1841500"/>
            <wp:effectExtent l="0" t="0" r="0" b="0"/>
            <wp:docPr id="1542335934" name="Picture 1" descr="A graph with blue and orange squar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2335934" name="Picture 1" descr="A graph with blue and orange squares&#10;&#10;AI-generated content may be incorrect."/>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7600" cy="1841500"/>
                    </a:xfrm>
                    <a:prstGeom prst="rect">
                      <a:avLst/>
                    </a:prstGeom>
                    <a:noFill/>
                    <a:ln>
                      <a:noFill/>
                    </a:ln>
                  </pic:spPr>
                </pic:pic>
              </a:graphicData>
            </a:graphic>
          </wp:inline>
        </w:drawing>
      </w:r>
    </w:p>
    <w:p w14:paraId="602CC0D3" w14:textId="77777777" w:rsidR="00FB4497" w:rsidRDefault="00FB4497" w:rsidP="00FB4497">
      <w:pPr>
        <w:pStyle w:val="NormalWeb"/>
        <w:spacing w:after="0" w:line="240" w:lineRule="auto"/>
        <w:ind w:firstLine="720"/>
        <w:jc w:val="both"/>
        <w:rPr>
          <w:sz w:val="22"/>
          <w:szCs w:val="22"/>
          <w:lang w:val="en-US"/>
        </w:rPr>
      </w:pPr>
    </w:p>
    <w:p w14:paraId="2FEE3FB0" w14:textId="77777777" w:rsidR="00FB4497" w:rsidRPr="00FB4497" w:rsidRDefault="00FB4497" w:rsidP="00FB4497">
      <w:pPr>
        <w:pStyle w:val="Addresses"/>
        <w:spacing w:line="240" w:lineRule="auto"/>
        <w:rPr>
          <w:b/>
          <w:bCs/>
          <w:i w:val="0"/>
          <w:szCs w:val="24"/>
        </w:rPr>
      </w:pPr>
      <w:commentRangeStart w:id="14"/>
      <w:r w:rsidRPr="00FB4497">
        <w:rPr>
          <w:b/>
          <w:bCs/>
          <w:i w:val="0"/>
          <w:szCs w:val="24"/>
        </w:rPr>
        <w:t>G</w:t>
      </w:r>
      <w:r>
        <w:rPr>
          <w:b/>
          <w:bCs/>
          <w:i w:val="0"/>
          <w:szCs w:val="24"/>
        </w:rPr>
        <w:t>ambar</w:t>
      </w:r>
      <w:r w:rsidRPr="00FB4497">
        <w:rPr>
          <w:b/>
          <w:bCs/>
          <w:i w:val="0"/>
          <w:szCs w:val="24"/>
        </w:rPr>
        <w:t xml:space="preserve"> </w:t>
      </w:r>
      <w:r>
        <w:rPr>
          <w:b/>
          <w:bCs/>
          <w:i w:val="0"/>
          <w:szCs w:val="24"/>
        </w:rPr>
        <w:t>2</w:t>
      </w:r>
      <w:r w:rsidRPr="00FB4497">
        <w:rPr>
          <w:b/>
          <w:bCs/>
          <w:i w:val="0"/>
          <w:szCs w:val="24"/>
        </w:rPr>
        <w:t xml:space="preserve"> Outcome Klinis </w:t>
      </w:r>
      <w:r>
        <w:rPr>
          <w:b/>
          <w:bCs/>
          <w:i w:val="0"/>
          <w:szCs w:val="24"/>
        </w:rPr>
        <w:t>Lama Rawat Inap</w:t>
      </w:r>
      <w:commentRangeEnd w:id="14"/>
      <w:r w:rsidR="00C37CFA" w:rsidRPr="00FB4497">
        <w:rPr>
          <w:rStyle w:val="CommentReference"/>
          <w:b/>
          <w:bCs/>
          <w:i w:val="0"/>
          <w:sz w:val="24"/>
          <w:szCs w:val="24"/>
        </w:rPr>
        <w:commentReference w:id="14"/>
      </w:r>
    </w:p>
    <w:p w14:paraId="620DFF07" w14:textId="77777777" w:rsidR="00FB4497" w:rsidRDefault="00FB4497" w:rsidP="00FB4497">
      <w:pPr>
        <w:pStyle w:val="NormalWeb"/>
        <w:spacing w:after="0" w:line="240" w:lineRule="auto"/>
        <w:ind w:firstLine="720"/>
        <w:jc w:val="both"/>
        <w:rPr>
          <w:sz w:val="22"/>
          <w:szCs w:val="22"/>
          <w:lang w:val="en-US"/>
        </w:rPr>
      </w:pPr>
    </w:p>
    <w:p w14:paraId="4DFDA34F" w14:textId="15B524AB" w:rsidR="00FB4497" w:rsidRPr="00FB4497" w:rsidRDefault="00FB4497" w:rsidP="00FB4497">
      <w:pPr>
        <w:pStyle w:val="NormalWeb"/>
        <w:spacing w:after="0" w:line="240" w:lineRule="auto"/>
        <w:ind w:firstLine="720"/>
        <w:jc w:val="both"/>
      </w:pPr>
      <w:r w:rsidRPr="00FB4497">
        <w:t xml:space="preserve">Pada gambar </w:t>
      </w:r>
      <w:r w:rsidR="00C37CFA">
        <w:t>2</w:t>
      </w:r>
      <w:r w:rsidRPr="00FB4497">
        <w:t xml:space="preserve"> tampak perbedaan lama rawat inap berdasarkan regimen antibiotik. Pasien yang menerima </w:t>
      </w:r>
      <w:r w:rsidR="00C37CFA">
        <w:rPr>
          <w:rStyle w:val="Emphasis"/>
          <w:i w:val="0"/>
        </w:rPr>
        <w:t>ampisilin-gentamisin</w:t>
      </w:r>
      <w:r w:rsidRPr="00FB4497">
        <w:t xml:space="preserve"> lebih banyak yang menjalani rawat inap &gt;</w:t>
      </w:r>
      <w:r w:rsidR="00C37CFA">
        <w:t xml:space="preserve"> </w:t>
      </w:r>
      <w:r w:rsidRPr="00FB4497">
        <w:t xml:space="preserve">7 hari (12 pasien) dibandingkan </w:t>
      </w:r>
      <w:r w:rsidR="00C37CFA">
        <w:t>dengan yang ≤ 7</w:t>
      </w:r>
      <w:r w:rsidRPr="00FB4497">
        <w:t xml:space="preserve"> hari (8 pasien). Sebaliknya, pada kelompok </w:t>
      </w:r>
      <w:r w:rsidRPr="00FB4497">
        <w:rPr>
          <w:rStyle w:val="Emphasis"/>
          <w:i w:val="0"/>
        </w:rPr>
        <w:t>meropenem-amikasin</w:t>
      </w:r>
      <w:r w:rsidR="00C37CFA">
        <w:rPr>
          <w:rStyle w:val="Emphasis"/>
          <w:i w:val="0"/>
        </w:rPr>
        <w:t>,</w:t>
      </w:r>
      <w:r w:rsidRPr="00FB4497">
        <w:t xml:space="preserve"> proporsi pasien dengan lama rawat inap &gt;</w:t>
      </w:r>
      <w:r w:rsidR="00C37CFA">
        <w:t xml:space="preserve"> </w:t>
      </w:r>
      <w:r w:rsidRPr="00FB4497">
        <w:t>7 hari juga cukup tinggi (8 pasien), namun jumlah pasien dengan rawat inap ≤</w:t>
      </w:r>
      <w:r w:rsidR="00C37CFA">
        <w:t xml:space="preserve"> </w:t>
      </w:r>
      <w:r w:rsidRPr="00FB4497">
        <w:t xml:space="preserve">7 hari lebih sedikit (5 pasien). Hal ini mengindikasikan bahwa meskipun angka kesembuhan tinggi, penggunaan antibiotik spektrum luas seperti </w:t>
      </w:r>
      <w:r w:rsidRPr="00FB4497">
        <w:rPr>
          <w:rStyle w:val="Emphasis"/>
          <w:i w:val="0"/>
        </w:rPr>
        <w:t>meropenem-amikasin</w:t>
      </w:r>
      <w:r w:rsidRPr="00FB4497">
        <w:t xml:space="preserve"> sering dikaitkan dengan perawatan yang lebih lama. Faktor ini kemungkinan dipengaruhi oleh kondisi awal pasien yang lebih berat, adanya komplikasi klinis, serta pola resistensi kuman di rumah sakit (Tzialla </w:t>
      </w:r>
      <w:r w:rsidRPr="00C37CFA">
        <w:rPr>
          <w:i/>
          <w:iCs/>
        </w:rPr>
        <w:t>et al</w:t>
      </w:r>
      <w:r w:rsidRPr="00FB4497">
        <w:t xml:space="preserve">., 2015; Shane </w:t>
      </w:r>
      <w:r w:rsidRPr="00C37CFA">
        <w:rPr>
          <w:i/>
          <w:iCs/>
        </w:rPr>
        <w:t>et al</w:t>
      </w:r>
      <w:r w:rsidRPr="00FB4497">
        <w:t>., 2017).</w:t>
      </w:r>
    </w:p>
    <w:p w14:paraId="166ED988" w14:textId="77777777" w:rsidR="000C4D3B" w:rsidRPr="00FB4497" w:rsidRDefault="000C4D3B" w:rsidP="00FB4497">
      <w:pPr>
        <w:pStyle w:val="Heading1"/>
        <w:jc w:val="both"/>
        <w:rPr>
          <w:lang w:val="id-ID"/>
        </w:rPr>
      </w:pPr>
    </w:p>
    <w:p w14:paraId="359BE2FD" w14:textId="77777777" w:rsidR="00D24FD8" w:rsidRDefault="00D24FD8" w:rsidP="00D24FD8">
      <w:pPr>
        <w:pStyle w:val="Heading1"/>
        <w:jc w:val="both"/>
      </w:pPr>
      <w:r>
        <w:rPr>
          <w:lang w:val="id-ID"/>
        </w:rPr>
        <w:t>KESIMPULAN</w:t>
      </w:r>
    </w:p>
    <w:p w14:paraId="385FE0AC" w14:textId="77777777" w:rsidR="00D24FD8" w:rsidRPr="00B25774" w:rsidRDefault="00D24FD8" w:rsidP="00D24FD8">
      <w:pPr>
        <w:pStyle w:val="Addresses"/>
        <w:spacing w:line="240" w:lineRule="auto"/>
        <w:jc w:val="left"/>
        <w:rPr>
          <w:i w:val="0"/>
          <w:color w:val="FF0000"/>
        </w:rPr>
      </w:pPr>
    </w:p>
    <w:p w14:paraId="513AFB61" w14:textId="159FCE07" w:rsidR="000C4D3B" w:rsidRPr="000C4D3B" w:rsidRDefault="000C4D3B" w:rsidP="000C4D3B">
      <w:pPr>
        <w:pStyle w:val="NormalWeb"/>
        <w:spacing w:after="0" w:line="240" w:lineRule="auto"/>
        <w:ind w:firstLine="567"/>
        <w:jc w:val="both"/>
      </w:pPr>
      <w:commentRangeStart w:id="15"/>
      <w:r w:rsidRPr="000C4D3B">
        <w:t xml:space="preserve">Secara keseluruhan, pemberian antibiotik di RSUD Provinsi Haji menggunakan antibiotik lini pertama </w:t>
      </w:r>
      <w:r w:rsidR="00C37CFA">
        <w:t>ampisilin-gentamisin</w:t>
      </w:r>
      <w:r w:rsidRPr="000C4D3B">
        <w:t xml:space="preserve"> dengan durasi penggunaan antibiotik ≤</w:t>
      </w:r>
      <w:r w:rsidR="00C37CFA">
        <w:t xml:space="preserve"> </w:t>
      </w:r>
      <w:r w:rsidRPr="000C4D3B">
        <w:t>7 hari. Antibiotik lini pertama kombinasi ampisilin-gentamisin terbukti efektif</w:t>
      </w:r>
      <w:r w:rsidR="00C37CFA">
        <w:t>, yang dapat dilihat melalui outcome klinis, yaitu tingkat kesembuhan yang tinggi dan kebutuhan</w:t>
      </w:r>
      <w:r w:rsidRPr="000C4D3B">
        <w:t xml:space="preserve"> rawat inap yang </w:t>
      </w:r>
      <w:r w:rsidRPr="000C4D3B">
        <w:t>singkat. Namun</w:t>
      </w:r>
      <w:r w:rsidR="00C37CFA">
        <w:t>,</w:t>
      </w:r>
      <w:r w:rsidRPr="000C4D3B">
        <w:t xml:space="preserve"> di beberapa kasus atau kondisi, kombinasi ampisilin-gentamisin </w:t>
      </w:r>
      <w:r w:rsidR="00C37CFA">
        <w:t>menunjukkan</w:t>
      </w:r>
      <w:r w:rsidRPr="000C4D3B">
        <w:t xml:space="preserve"> resistensi yang dilihat dari hasil kultur positif </w:t>
      </w:r>
      <w:r w:rsidR="00C37CFA">
        <w:t>pada</w:t>
      </w:r>
      <w:r w:rsidRPr="000C4D3B">
        <w:t xml:space="preserve"> 5 kasus.</w:t>
      </w:r>
      <w:commentRangeEnd w:id="15"/>
      <w:r w:rsidR="00CE4BFA" w:rsidRPr="000C4D3B">
        <w:rPr>
          <w:rStyle w:val="CommentReference"/>
          <w:sz w:val="24"/>
          <w:szCs w:val="24"/>
        </w:rPr>
        <w:commentReference w:id="15"/>
      </w:r>
    </w:p>
    <w:p w14:paraId="5ECA8A5C" w14:textId="77777777" w:rsidR="00D24FD8" w:rsidRPr="00B25774" w:rsidRDefault="00D24FD8" w:rsidP="00D24FD8">
      <w:pPr>
        <w:pStyle w:val="Addresses"/>
        <w:spacing w:line="240" w:lineRule="auto"/>
        <w:jc w:val="left"/>
        <w:rPr>
          <w:i w:val="0"/>
          <w:color w:val="FF0000"/>
        </w:rPr>
      </w:pPr>
    </w:p>
    <w:p w14:paraId="1B2AC843" w14:textId="77777777" w:rsidR="00FB4497" w:rsidRDefault="00FB4497" w:rsidP="00D24FD8">
      <w:pPr>
        <w:pStyle w:val="Addresses"/>
        <w:spacing w:line="240" w:lineRule="auto"/>
        <w:jc w:val="left"/>
        <w:rPr>
          <w:b/>
          <w:i w:val="0"/>
          <w:lang w:val="id-ID"/>
        </w:rPr>
      </w:pPr>
    </w:p>
    <w:p w14:paraId="535167D6" w14:textId="77777777" w:rsidR="00D24FD8" w:rsidRPr="00A7492D" w:rsidRDefault="00D24FD8" w:rsidP="00D24FD8">
      <w:pPr>
        <w:pStyle w:val="Addresses"/>
        <w:spacing w:line="240" w:lineRule="auto"/>
        <w:jc w:val="left"/>
        <w:rPr>
          <w:b/>
          <w:i w:val="0"/>
          <w:lang w:val="id-ID"/>
        </w:rPr>
      </w:pPr>
      <w:r w:rsidRPr="00A7492D">
        <w:rPr>
          <w:b/>
          <w:i w:val="0"/>
          <w:lang w:val="id-ID"/>
        </w:rPr>
        <w:t>SARAN</w:t>
      </w:r>
      <w:r>
        <w:rPr>
          <w:b/>
          <w:i w:val="0"/>
          <w:lang w:val="id-ID"/>
        </w:rPr>
        <w:t xml:space="preserve"> </w:t>
      </w:r>
    </w:p>
    <w:p w14:paraId="7509711A" w14:textId="23CFD053" w:rsidR="000C4D3B" w:rsidRPr="00F83E88" w:rsidRDefault="000C4D3B" w:rsidP="000C4D3B">
      <w:pPr>
        <w:widowControl/>
        <w:autoSpaceDE/>
        <w:autoSpaceDN/>
        <w:adjustRightInd/>
        <w:spacing w:line="240" w:lineRule="auto"/>
        <w:ind w:firstLine="357"/>
        <w:textAlignment w:val="auto"/>
      </w:pPr>
      <w:r>
        <w:rPr>
          <w:color w:val="000000"/>
        </w:rPr>
        <w:t>Penelitian berikutnya dapat dilakukan pada sampel yang distratifikasi sesuai dengan jenis sepsis (</w:t>
      </w:r>
      <w:r w:rsidRPr="00C37CFA">
        <w:rPr>
          <w:i/>
          <w:iCs/>
          <w:color w:val="000000"/>
        </w:rPr>
        <w:t>probable, possible</w:t>
      </w:r>
      <w:r w:rsidR="00C37CFA">
        <w:rPr>
          <w:i/>
          <w:iCs/>
          <w:color w:val="000000"/>
        </w:rPr>
        <w:t>,</w:t>
      </w:r>
      <w:r>
        <w:rPr>
          <w:color w:val="000000"/>
        </w:rPr>
        <w:t xml:space="preserve"> dan </w:t>
      </w:r>
      <w:r w:rsidRPr="00C37CFA">
        <w:rPr>
          <w:i/>
          <w:iCs/>
          <w:color w:val="000000"/>
        </w:rPr>
        <w:t>proven</w:t>
      </w:r>
      <w:r>
        <w:rPr>
          <w:color w:val="000000"/>
        </w:rPr>
        <w:t xml:space="preserve"> sepsis). </w:t>
      </w:r>
      <w:r>
        <w:t xml:space="preserve">Penelitian ini dapat digunakan sebagai penelitian pendahuluan untuk penelitian lanjutan </w:t>
      </w:r>
      <w:r w:rsidR="00C37CFA">
        <w:t xml:space="preserve">untuk </w:t>
      </w:r>
      <w:r>
        <w:t xml:space="preserve">mengetahui apakah ada pengaruh penggunaan antibiotik terhadap </w:t>
      </w:r>
      <w:r w:rsidRPr="00C37CFA">
        <w:rPr>
          <w:i/>
          <w:iCs/>
        </w:rPr>
        <w:t>outcome</w:t>
      </w:r>
      <w:r>
        <w:t xml:space="preserve"> klinis pada pasien sepsis neonatus.</w:t>
      </w:r>
    </w:p>
    <w:p w14:paraId="0644F606" w14:textId="77777777" w:rsidR="00D24FD8" w:rsidRPr="00B25774" w:rsidRDefault="00D24FD8" w:rsidP="00D24FD8">
      <w:pPr>
        <w:pStyle w:val="Addresses"/>
        <w:spacing w:line="240" w:lineRule="auto"/>
        <w:jc w:val="left"/>
        <w:rPr>
          <w:i w:val="0"/>
          <w:color w:val="FF0000"/>
        </w:rPr>
      </w:pPr>
    </w:p>
    <w:p w14:paraId="1E9EF629" w14:textId="77777777" w:rsidR="00D24FD8" w:rsidRPr="000A771C" w:rsidRDefault="00D24FD8" w:rsidP="00D24FD8">
      <w:pPr>
        <w:pStyle w:val="Heading1"/>
        <w:jc w:val="both"/>
      </w:pPr>
      <w:r>
        <w:t>DAFTAR RUJUKAN</w:t>
      </w:r>
    </w:p>
    <w:p w14:paraId="53563C4A" w14:textId="77777777" w:rsidR="00D24FD8" w:rsidRPr="000F4BC1" w:rsidRDefault="00D24FD8" w:rsidP="00D24FD8">
      <w:pPr>
        <w:pStyle w:val="Addresses"/>
        <w:spacing w:line="240" w:lineRule="auto"/>
        <w:jc w:val="left"/>
        <w:rPr>
          <w:i w:val="0"/>
          <w:color w:val="FF0000"/>
        </w:rPr>
      </w:pPr>
    </w:p>
    <w:p w14:paraId="2E53C1F8" w14:textId="77777777" w:rsidR="00FB4497" w:rsidRPr="00FB4497" w:rsidRDefault="00FB4497" w:rsidP="00FB4497">
      <w:pPr>
        <w:pStyle w:val="NormalWeb"/>
        <w:spacing w:after="0" w:line="240" w:lineRule="auto"/>
        <w:ind w:left="1134" w:hanging="1134"/>
        <w:rPr>
          <w:sz w:val="22"/>
          <w:szCs w:val="22"/>
        </w:rPr>
      </w:pPr>
      <w:commentRangeStart w:id="16"/>
      <w:r w:rsidRPr="00FB4497">
        <w:rPr>
          <w:sz w:val="22"/>
          <w:szCs w:val="22"/>
        </w:rPr>
        <w:t xml:space="preserve">Al-Matary, A., Almatary, M., Al-Wassia, H., et al. (2022). Early versus late antibiotic administration in neonatal sepsis and outcomes. </w:t>
      </w:r>
      <w:r w:rsidRPr="00FB4497">
        <w:rPr>
          <w:rStyle w:val="Emphasis"/>
          <w:sz w:val="22"/>
          <w:szCs w:val="22"/>
        </w:rPr>
        <w:t>Journal of Neonatal-Perinatal Medicine, 15</w:t>
      </w:r>
      <w:r w:rsidRPr="00FB4497">
        <w:rPr>
          <w:sz w:val="22"/>
          <w:szCs w:val="22"/>
        </w:rPr>
        <w:t xml:space="preserve">(2), 123–131. </w:t>
      </w:r>
      <w:hyperlink r:id="rId18" w:tgtFrame="_new" w:history="1">
        <w:r w:rsidRPr="00FB4497">
          <w:rPr>
            <w:rStyle w:val="Hyperlink"/>
            <w:sz w:val="22"/>
            <w:szCs w:val="22"/>
          </w:rPr>
          <w:t>https://doi.org/10.3233/NPM-210789</w:t>
        </w:r>
      </w:hyperlink>
    </w:p>
    <w:p w14:paraId="5E450DD3"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American Academy of Pediatrics (AAP). (2024). </w:t>
      </w:r>
      <w:r w:rsidRPr="00FB4497">
        <w:rPr>
          <w:rStyle w:val="Emphasis"/>
          <w:sz w:val="22"/>
          <w:szCs w:val="22"/>
        </w:rPr>
        <w:t>Neonatal sepsis guidelines update</w:t>
      </w:r>
      <w:r w:rsidRPr="00FB4497">
        <w:rPr>
          <w:sz w:val="22"/>
          <w:szCs w:val="22"/>
        </w:rPr>
        <w:t>. Elk Grove Village, IL: AAP Publishing.</w:t>
      </w:r>
    </w:p>
    <w:p w14:paraId="1A30437A"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American Academy of Pediatrics (AAP), Committee on Fetus and Newborn. (2018). Management of neonates with suspected or proven early-onset bacterial sepsis. </w:t>
      </w:r>
      <w:r w:rsidRPr="00FB4497">
        <w:rPr>
          <w:rStyle w:val="Emphasis"/>
          <w:sz w:val="22"/>
          <w:szCs w:val="22"/>
        </w:rPr>
        <w:t>Pediatrics, 142</w:t>
      </w:r>
      <w:r w:rsidRPr="00FB4497">
        <w:rPr>
          <w:sz w:val="22"/>
          <w:szCs w:val="22"/>
        </w:rPr>
        <w:t xml:space="preserve">(6), e20182894. </w:t>
      </w:r>
      <w:hyperlink r:id="rId19" w:tgtFrame="_new" w:history="1">
        <w:r w:rsidRPr="00FB4497">
          <w:rPr>
            <w:rStyle w:val="Hyperlink"/>
            <w:sz w:val="22"/>
            <w:szCs w:val="22"/>
          </w:rPr>
          <w:t>https://doi.org/10.1542/peds.2018-2894</w:t>
        </w:r>
      </w:hyperlink>
    </w:p>
    <w:p w14:paraId="48996168"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Belachew, A., Taye, M., &amp; Endalamaw, A. (2020). Low birth weight and neonatal sepsis: A systematic review and meta-analysis. </w:t>
      </w:r>
      <w:r w:rsidRPr="00FB4497">
        <w:rPr>
          <w:rStyle w:val="Emphasis"/>
          <w:sz w:val="22"/>
          <w:szCs w:val="22"/>
        </w:rPr>
        <w:t>BMC Pediatrics, 20</w:t>
      </w:r>
      <w:r w:rsidRPr="00FB4497">
        <w:rPr>
          <w:sz w:val="22"/>
          <w:szCs w:val="22"/>
        </w:rPr>
        <w:t xml:space="preserve">(1), 1–9. </w:t>
      </w:r>
      <w:hyperlink r:id="rId20" w:tgtFrame="_new" w:history="1">
        <w:r w:rsidRPr="00FB4497">
          <w:rPr>
            <w:rStyle w:val="Hyperlink"/>
            <w:sz w:val="22"/>
            <w:szCs w:val="22"/>
          </w:rPr>
          <w:t>https://doi.org/10.1186/s12887-020-02247-w</w:t>
        </w:r>
      </w:hyperlink>
    </w:p>
    <w:p w14:paraId="3F3AB490"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Bizzarro, M. J., &amp; Gallagher, P. G. (2020). Antibiotic-resistant organisms in the NICU: Epidemiology and clinical impact. </w:t>
      </w:r>
      <w:r w:rsidRPr="00FB4497">
        <w:rPr>
          <w:rStyle w:val="Emphasis"/>
          <w:sz w:val="22"/>
          <w:szCs w:val="22"/>
        </w:rPr>
        <w:t>Seminars in Perinatology, 44</w:t>
      </w:r>
      <w:r w:rsidRPr="00FB4497">
        <w:rPr>
          <w:sz w:val="22"/>
          <w:szCs w:val="22"/>
        </w:rPr>
        <w:t xml:space="preserve">(6), 151–159. </w:t>
      </w:r>
      <w:hyperlink r:id="rId21" w:tgtFrame="_new" w:history="1">
        <w:r w:rsidRPr="00FB4497">
          <w:rPr>
            <w:rStyle w:val="Hyperlink"/>
            <w:sz w:val="22"/>
            <w:szCs w:val="22"/>
          </w:rPr>
          <w:t>https://doi.org/10.1016/j.semperi.2020.151159</w:t>
        </w:r>
      </w:hyperlink>
    </w:p>
    <w:p w14:paraId="4A2DD3BA" w14:textId="77777777" w:rsidR="00FB4497" w:rsidRPr="00FB4497" w:rsidRDefault="00FB4497" w:rsidP="00FB4497">
      <w:pPr>
        <w:pStyle w:val="NormalWeb"/>
        <w:spacing w:after="0" w:line="240" w:lineRule="auto"/>
        <w:ind w:left="1134" w:hanging="1134"/>
        <w:rPr>
          <w:sz w:val="22"/>
          <w:szCs w:val="22"/>
        </w:rPr>
      </w:pPr>
      <w:r w:rsidRPr="00FB4497">
        <w:rPr>
          <w:sz w:val="22"/>
          <w:szCs w:val="22"/>
        </w:rPr>
        <w:lastRenderedPageBreak/>
        <w:t xml:space="preserve">Cantey, J. B., &amp; Baird, S. D. (2017). Antibiotic stewardship in the neonatal intensive care unit: Lessons from oxygen. </w:t>
      </w:r>
      <w:r w:rsidRPr="00FB4497">
        <w:rPr>
          <w:rStyle w:val="Emphasis"/>
          <w:sz w:val="22"/>
          <w:szCs w:val="22"/>
        </w:rPr>
        <w:t>Journal of Perinatology, 37</w:t>
      </w:r>
      <w:r w:rsidRPr="00FB4497">
        <w:rPr>
          <w:sz w:val="22"/>
          <w:szCs w:val="22"/>
        </w:rPr>
        <w:t xml:space="preserve">(2), 140–147. </w:t>
      </w:r>
      <w:hyperlink r:id="rId22" w:tgtFrame="_new" w:history="1">
        <w:r w:rsidRPr="00FB4497">
          <w:rPr>
            <w:rStyle w:val="Hyperlink"/>
            <w:sz w:val="22"/>
            <w:szCs w:val="22"/>
          </w:rPr>
          <w:t>https://doi.org/10.1038/jp.2016.166</w:t>
        </w:r>
      </w:hyperlink>
    </w:p>
    <w:p w14:paraId="5B20511F"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Cotten, C. M. (2016). Adverse consequences of neonatal antibiotic exposure. </w:t>
      </w:r>
      <w:r w:rsidRPr="00FB4497">
        <w:rPr>
          <w:rStyle w:val="Emphasis"/>
          <w:sz w:val="22"/>
          <w:szCs w:val="22"/>
        </w:rPr>
        <w:t>Current Opinion in Pediatrics, 28</w:t>
      </w:r>
      <w:r w:rsidRPr="00FB4497">
        <w:rPr>
          <w:sz w:val="22"/>
          <w:szCs w:val="22"/>
        </w:rPr>
        <w:t xml:space="preserve">(2), 141–149. </w:t>
      </w:r>
      <w:hyperlink r:id="rId23" w:tgtFrame="_new" w:history="1">
        <w:r w:rsidRPr="00FB4497">
          <w:rPr>
            <w:rStyle w:val="Hyperlink"/>
            <w:sz w:val="22"/>
            <w:szCs w:val="22"/>
          </w:rPr>
          <w:t>https://doi.org/10.1097/MOP.0000000000000318</w:t>
        </w:r>
      </w:hyperlink>
    </w:p>
    <w:p w14:paraId="01D50834"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Cotten, C. M. (2020). Antibiotic stewardship: Relevance in neonatal intensive care. </w:t>
      </w:r>
      <w:r w:rsidRPr="00FB4497">
        <w:rPr>
          <w:rStyle w:val="Emphasis"/>
          <w:sz w:val="22"/>
          <w:szCs w:val="22"/>
        </w:rPr>
        <w:t>Clinics in Perinatology, 47</w:t>
      </w:r>
      <w:r w:rsidRPr="00FB4497">
        <w:rPr>
          <w:sz w:val="22"/>
          <w:szCs w:val="22"/>
        </w:rPr>
        <w:t xml:space="preserve">(1), 1–12. </w:t>
      </w:r>
      <w:hyperlink r:id="rId24" w:tgtFrame="_new" w:history="1">
        <w:r w:rsidRPr="00FB4497">
          <w:rPr>
            <w:rStyle w:val="Hyperlink"/>
            <w:sz w:val="22"/>
            <w:szCs w:val="22"/>
          </w:rPr>
          <w:t>https://doi.org/10.1016/j.clp.2019.11.001</w:t>
        </w:r>
      </w:hyperlink>
    </w:p>
    <w:p w14:paraId="64A8629E"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Dramowski, A., Aucamp, M., Bekker, A., et al. (2024). Antimicrobial stewardship in neonatal intensive care: Current practices and future directions. </w:t>
      </w:r>
      <w:r w:rsidRPr="00FB4497">
        <w:rPr>
          <w:rStyle w:val="Emphasis"/>
          <w:sz w:val="22"/>
          <w:szCs w:val="22"/>
        </w:rPr>
        <w:t>The Lancet Child &amp; Adolescent Health, 8</w:t>
      </w:r>
      <w:r w:rsidRPr="00FB4497">
        <w:rPr>
          <w:sz w:val="22"/>
          <w:szCs w:val="22"/>
        </w:rPr>
        <w:t xml:space="preserve">(3), 189–198. </w:t>
      </w:r>
      <w:hyperlink r:id="rId25" w:tgtFrame="_new" w:history="1">
        <w:r w:rsidRPr="00FB4497">
          <w:rPr>
            <w:rStyle w:val="Hyperlink"/>
            <w:sz w:val="22"/>
            <w:szCs w:val="22"/>
          </w:rPr>
          <w:t>https://doi.org/10.1016/S2352-4642(24)00021-9</w:t>
        </w:r>
      </w:hyperlink>
    </w:p>
    <w:p w14:paraId="2ADC3C4A"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Fleischmann-Struzek, C., Goldfarb, D. M., Schlattmann, P., Schlapbach, L. J., Reinhart, K., &amp; Kissoon, N. (2018). The global burden of paediatric and neonatal sepsis: A systematic review. </w:t>
      </w:r>
      <w:r w:rsidRPr="00FB4497">
        <w:rPr>
          <w:rStyle w:val="Emphasis"/>
          <w:sz w:val="22"/>
          <w:szCs w:val="22"/>
        </w:rPr>
        <w:t>The Lancet Respiratory Medicine, 6</w:t>
      </w:r>
      <w:r w:rsidRPr="00FB4497">
        <w:rPr>
          <w:sz w:val="22"/>
          <w:szCs w:val="22"/>
        </w:rPr>
        <w:t xml:space="preserve">(3), 223–230. </w:t>
      </w:r>
      <w:hyperlink r:id="rId26" w:tgtFrame="_new" w:history="1">
        <w:r w:rsidRPr="00FB4497">
          <w:rPr>
            <w:rStyle w:val="Hyperlink"/>
            <w:sz w:val="22"/>
            <w:szCs w:val="22"/>
          </w:rPr>
          <w:t>https://doi.org/10.1016/S2213-2600(18)30063-8</w:t>
        </w:r>
      </w:hyperlink>
    </w:p>
    <w:p w14:paraId="5E01BB26"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Izati, H., Putri, R., &amp; Suryani, A. (2024). Neonatal mortality in Indonesia: Trends and determinants. </w:t>
      </w:r>
      <w:r w:rsidRPr="00FB4497">
        <w:rPr>
          <w:rStyle w:val="Emphasis"/>
          <w:sz w:val="22"/>
          <w:szCs w:val="22"/>
        </w:rPr>
        <w:t>Indonesian Journal of Public Health, 19</w:t>
      </w:r>
      <w:r w:rsidRPr="00FB4497">
        <w:rPr>
          <w:sz w:val="22"/>
          <w:szCs w:val="22"/>
        </w:rPr>
        <w:t>(1), 12–19.</w:t>
      </w:r>
    </w:p>
    <w:p w14:paraId="03757999"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Kariniotaki, I., Papadopoulos, E., &amp; Giapros, V. (2024). Neonatal sepsis: Epidemiology, pathogenesis and clinical management. </w:t>
      </w:r>
      <w:r w:rsidRPr="00FB4497">
        <w:rPr>
          <w:rStyle w:val="Emphasis"/>
          <w:sz w:val="22"/>
          <w:szCs w:val="22"/>
        </w:rPr>
        <w:t>Frontiers in Pediatrics, 12</w:t>
      </w:r>
      <w:r w:rsidRPr="00FB4497">
        <w:rPr>
          <w:sz w:val="22"/>
          <w:szCs w:val="22"/>
        </w:rPr>
        <w:t xml:space="preserve">, 144–156. </w:t>
      </w:r>
      <w:hyperlink r:id="rId27" w:tgtFrame="_new" w:history="1">
        <w:r w:rsidRPr="00FB4497">
          <w:rPr>
            <w:rStyle w:val="Hyperlink"/>
            <w:sz w:val="22"/>
            <w:szCs w:val="22"/>
          </w:rPr>
          <w:t>https://doi.org/10.3389/fped.2024.1388447</w:t>
        </w:r>
      </w:hyperlink>
    </w:p>
    <w:p w14:paraId="4CC69F6C"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Klingenberg, C., Kornelisse, R. F., Buonocore, G., Maier, R. F., &amp; Stocker, M. (2018). Culture-negative early-onset neonatal sepsis—At the crossroad between efficient sepsis care and antimicrobial stewardship. </w:t>
      </w:r>
      <w:r w:rsidRPr="00FB4497">
        <w:rPr>
          <w:rStyle w:val="Emphasis"/>
          <w:sz w:val="22"/>
          <w:szCs w:val="22"/>
        </w:rPr>
        <w:t>Frontiers in Pediatrics, 6</w:t>
      </w:r>
      <w:r w:rsidRPr="00FB4497">
        <w:rPr>
          <w:sz w:val="22"/>
          <w:szCs w:val="22"/>
        </w:rPr>
        <w:t xml:space="preserve">, 285. </w:t>
      </w:r>
      <w:hyperlink r:id="rId28" w:tgtFrame="_new" w:history="1">
        <w:r w:rsidRPr="00FB4497">
          <w:rPr>
            <w:rStyle w:val="Hyperlink"/>
            <w:sz w:val="22"/>
            <w:szCs w:val="22"/>
          </w:rPr>
          <w:t>https://doi.org/10.3389/fped.2018.00285</w:t>
        </w:r>
      </w:hyperlink>
    </w:p>
    <w:p w14:paraId="7ADEDEF4"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Maisaba, P. M., et al. (2024). Mode of delivery and risk of neonatal sepsis: A multicenter study. </w:t>
      </w:r>
      <w:r w:rsidRPr="00FB4497">
        <w:rPr>
          <w:rStyle w:val="Emphasis"/>
          <w:sz w:val="22"/>
          <w:szCs w:val="22"/>
        </w:rPr>
        <w:t>Journal of Maternal-Fetal &amp; Neonatal Medicine, 37</w:t>
      </w:r>
      <w:r w:rsidRPr="00FB4497">
        <w:rPr>
          <w:sz w:val="22"/>
          <w:szCs w:val="22"/>
        </w:rPr>
        <w:t>(5), 765–772.</w:t>
      </w:r>
    </w:p>
    <w:p w14:paraId="531C25FC"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Murray, C. J. L., et al. (2019). Prolonged empirical antibiotic therapy and adverse outcomes in neonates. </w:t>
      </w:r>
      <w:r w:rsidRPr="00FB4497">
        <w:rPr>
          <w:rStyle w:val="Emphasis"/>
          <w:sz w:val="22"/>
          <w:szCs w:val="22"/>
        </w:rPr>
        <w:t>JAMA Pediatrics, 173</w:t>
      </w:r>
      <w:r w:rsidRPr="00FB4497">
        <w:rPr>
          <w:sz w:val="22"/>
          <w:szCs w:val="22"/>
        </w:rPr>
        <w:t xml:space="preserve">(11), 989–997. </w:t>
      </w:r>
      <w:hyperlink r:id="rId29" w:tgtFrame="_new" w:history="1">
        <w:r w:rsidRPr="00FB4497">
          <w:rPr>
            <w:rStyle w:val="Hyperlink"/>
            <w:sz w:val="22"/>
            <w:szCs w:val="22"/>
          </w:rPr>
          <w:t>https://doi.org/10.1001/jamapediatrics.2019.2825</w:t>
        </w:r>
      </w:hyperlink>
    </w:p>
    <w:p w14:paraId="79EA0B63"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Polin, R. A., &amp; Committee on Fetus and Newborn. (2018). Management of neonates with suspected or proven early-onset bacterial sepsis. </w:t>
      </w:r>
      <w:r w:rsidRPr="00FB4497">
        <w:rPr>
          <w:rStyle w:val="Emphasis"/>
          <w:sz w:val="22"/>
          <w:szCs w:val="22"/>
        </w:rPr>
        <w:t>Pediatrics, 142</w:t>
      </w:r>
      <w:r w:rsidRPr="00FB4497">
        <w:rPr>
          <w:sz w:val="22"/>
          <w:szCs w:val="22"/>
        </w:rPr>
        <w:t>(6), e20182894.</w:t>
      </w:r>
    </w:p>
    <w:p w14:paraId="22C3C2D0"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Puopolo, K. M., Benitz, W. E., Zaoutis, T. E., &amp; Committee on Fetus and Newborn; Committee on Infectious Diseases. (2018). Management of neonates born at ≥35 0/7 weeks’ gestation with suspected or proven early-onset bacterial sepsis. </w:t>
      </w:r>
      <w:r w:rsidRPr="00FB4497">
        <w:rPr>
          <w:rStyle w:val="Emphasis"/>
          <w:sz w:val="22"/>
          <w:szCs w:val="22"/>
        </w:rPr>
        <w:t>Pediatrics, 142</w:t>
      </w:r>
      <w:r w:rsidRPr="00FB4497">
        <w:rPr>
          <w:sz w:val="22"/>
          <w:szCs w:val="22"/>
        </w:rPr>
        <w:t>(6), e20182894.</w:t>
      </w:r>
    </w:p>
    <w:p w14:paraId="4B156421"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Ray, K. N., Desai, S., &amp; Keren, R. (2021). Timing of antibiotic initiation and outcomes in neonatal sepsis. </w:t>
      </w:r>
      <w:r w:rsidRPr="00FB4497">
        <w:rPr>
          <w:rStyle w:val="Emphasis"/>
          <w:sz w:val="22"/>
          <w:szCs w:val="22"/>
        </w:rPr>
        <w:t>Pediatric Infectious Disease Journal, 40</w:t>
      </w:r>
      <w:r w:rsidRPr="00FB4497">
        <w:rPr>
          <w:sz w:val="22"/>
          <w:szCs w:val="22"/>
        </w:rPr>
        <w:t xml:space="preserve">(5), 415–421. </w:t>
      </w:r>
      <w:hyperlink r:id="rId30" w:tgtFrame="_new" w:history="1">
        <w:r w:rsidRPr="00FB4497">
          <w:rPr>
            <w:rStyle w:val="Hyperlink"/>
            <w:sz w:val="22"/>
            <w:szCs w:val="22"/>
          </w:rPr>
          <w:t>https://doi.org/10.1097/INF.0000000000003076</w:t>
        </w:r>
      </w:hyperlink>
    </w:p>
    <w:p w14:paraId="0EAF132B"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Shane, A. L., Sánchez, P. J., &amp; Stoll, B. J. (2017). Neonatal sepsis. </w:t>
      </w:r>
      <w:r w:rsidRPr="00FB4497">
        <w:rPr>
          <w:rStyle w:val="Emphasis"/>
          <w:sz w:val="22"/>
          <w:szCs w:val="22"/>
        </w:rPr>
        <w:t>The Lancet, 390</w:t>
      </w:r>
      <w:r w:rsidRPr="00FB4497">
        <w:rPr>
          <w:sz w:val="22"/>
          <w:szCs w:val="22"/>
        </w:rPr>
        <w:t>(10104), 1770–1780. https://doi.org/10.1016/S0140-6736(17)31002-4</w:t>
      </w:r>
    </w:p>
    <w:p w14:paraId="6D7F0F8B"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Stocker, M., van Herk, W., &amp; Klingenberg, C. (2024). Shortened duration of antibiotic therapy for neonatal sepsis: Current evidence and future directions. </w:t>
      </w:r>
      <w:r w:rsidRPr="00FB4497">
        <w:rPr>
          <w:rStyle w:val="Emphasis"/>
          <w:sz w:val="22"/>
          <w:szCs w:val="22"/>
        </w:rPr>
        <w:t>Seminars in Fetal &amp; Neonatal Medicine, 29</w:t>
      </w:r>
      <w:r w:rsidRPr="00FB4497">
        <w:rPr>
          <w:sz w:val="22"/>
          <w:szCs w:val="22"/>
        </w:rPr>
        <w:t xml:space="preserve">(1), 101–115. </w:t>
      </w:r>
      <w:hyperlink r:id="rId31" w:tgtFrame="_new" w:history="1">
        <w:r w:rsidRPr="00FB4497">
          <w:rPr>
            <w:rStyle w:val="Hyperlink"/>
            <w:sz w:val="22"/>
            <w:szCs w:val="22"/>
          </w:rPr>
          <w:t>https://doi.org/10.1016/j.siny.2023.101115</w:t>
        </w:r>
      </w:hyperlink>
    </w:p>
    <w:p w14:paraId="3E8426CE"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Tzialla, C., Manzoni, P., Achille, C., Bollani, L., Stronati, M., &amp; Borghesi, A. (2015). New diagnostic possibilities for neonatal sepsis. </w:t>
      </w:r>
      <w:r w:rsidRPr="00FB4497">
        <w:rPr>
          <w:rStyle w:val="Emphasis"/>
          <w:sz w:val="22"/>
          <w:szCs w:val="22"/>
        </w:rPr>
        <w:t>American Journal of Perinatology, 32</w:t>
      </w:r>
      <w:r w:rsidRPr="00FB4497">
        <w:rPr>
          <w:sz w:val="22"/>
          <w:szCs w:val="22"/>
        </w:rPr>
        <w:t xml:space="preserve">(5), 375–382. </w:t>
      </w:r>
      <w:hyperlink r:id="rId32" w:tgtFrame="_new" w:history="1">
        <w:r w:rsidRPr="00FB4497">
          <w:rPr>
            <w:rStyle w:val="Hyperlink"/>
            <w:sz w:val="22"/>
            <w:szCs w:val="22"/>
          </w:rPr>
          <w:t>https://doi.org/10.1055/s-0034-1393932</w:t>
        </w:r>
      </w:hyperlink>
    </w:p>
    <w:p w14:paraId="6ED18879"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Tzialla, C., et al. (2020). Antimicrobial stewardship in neonatal intensive </w:t>
      </w:r>
      <w:r w:rsidRPr="00FB4497">
        <w:rPr>
          <w:sz w:val="22"/>
          <w:szCs w:val="22"/>
        </w:rPr>
        <w:lastRenderedPageBreak/>
        <w:t xml:space="preserve">care: An update. </w:t>
      </w:r>
      <w:r w:rsidRPr="00FB4497">
        <w:rPr>
          <w:rStyle w:val="Emphasis"/>
          <w:sz w:val="22"/>
          <w:szCs w:val="22"/>
        </w:rPr>
        <w:t>Early Human Development, 141</w:t>
      </w:r>
      <w:r w:rsidRPr="00FB4497">
        <w:rPr>
          <w:sz w:val="22"/>
          <w:szCs w:val="22"/>
        </w:rPr>
        <w:t xml:space="preserve">, 104–110. </w:t>
      </w:r>
      <w:hyperlink r:id="rId33" w:tgtFrame="_new" w:history="1">
        <w:r w:rsidRPr="00FB4497">
          <w:rPr>
            <w:rStyle w:val="Hyperlink"/>
            <w:sz w:val="22"/>
            <w:szCs w:val="22"/>
          </w:rPr>
          <w:t>https://doi.org/10.1016/j.earlhumdev.2019.104910</w:t>
        </w:r>
      </w:hyperlink>
    </w:p>
    <w:p w14:paraId="776D696A" w14:textId="77777777" w:rsidR="00FB4497" w:rsidRPr="00FB4497" w:rsidRDefault="00FB4497" w:rsidP="00FB4497">
      <w:pPr>
        <w:pStyle w:val="NormalWeb"/>
        <w:spacing w:after="0" w:line="240" w:lineRule="auto"/>
        <w:ind w:left="1134" w:hanging="1134"/>
        <w:rPr>
          <w:sz w:val="22"/>
          <w:szCs w:val="22"/>
        </w:rPr>
      </w:pPr>
      <w:r w:rsidRPr="00FB4497">
        <w:rPr>
          <w:sz w:val="22"/>
          <w:szCs w:val="22"/>
        </w:rPr>
        <w:t xml:space="preserve">Tzialla, C., et al. (2021). Long-term impact of neonatal antibiotic exposure: Microbiota, immune system, and health. </w:t>
      </w:r>
      <w:r w:rsidRPr="00FB4497">
        <w:rPr>
          <w:rStyle w:val="Emphasis"/>
          <w:sz w:val="22"/>
          <w:szCs w:val="22"/>
        </w:rPr>
        <w:t>Frontiers in Pediatrics, 9</w:t>
      </w:r>
      <w:r w:rsidRPr="00FB4497">
        <w:rPr>
          <w:sz w:val="22"/>
          <w:szCs w:val="22"/>
        </w:rPr>
        <w:t xml:space="preserve">, 690–702. </w:t>
      </w:r>
      <w:hyperlink r:id="rId34" w:tgtFrame="_new" w:history="1">
        <w:r w:rsidRPr="00FB4497">
          <w:rPr>
            <w:rStyle w:val="Hyperlink"/>
            <w:sz w:val="22"/>
            <w:szCs w:val="22"/>
          </w:rPr>
          <w:t>https://doi.org/10.3389/fped.2021.690702</w:t>
        </w:r>
      </w:hyperlink>
    </w:p>
    <w:p w14:paraId="3B71F13B" w14:textId="77777777" w:rsidR="00FB4497" w:rsidRPr="00FB4497" w:rsidRDefault="00FB4497" w:rsidP="00FB4497">
      <w:pPr>
        <w:pStyle w:val="NormalWeb"/>
        <w:spacing w:after="0" w:line="240" w:lineRule="auto"/>
        <w:ind w:left="1134" w:hanging="1134"/>
        <w:rPr>
          <w:sz w:val="22"/>
          <w:szCs w:val="22"/>
        </w:rPr>
      </w:pPr>
      <w:r w:rsidRPr="00FB4497">
        <w:rPr>
          <w:sz w:val="22"/>
          <w:szCs w:val="22"/>
          <w:lang w:val="en-US"/>
        </w:rPr>
        <w:t>V</w:t>
      </w:r>
      <w:r w:rsidRPr="00FB4497">
        <w:rPr>
          <w:sz w:val="22"/>
          <w:szCs w:val="22"/>
        </w:rPr>
        <w:t xml:space="preserve">an den Hoogen, A., &amp; Gerards, L. J. (2020). Use of meropenem in neonatal intensive care: Balancing efficacy and resistance. </w:t>
      </w:r>
      <w:r w:rsidRPr="00FB4497">
        <w:rPr>
          <w:rStyle w:val="Emphasis"/>
          <w:sz w:val="22"/>
          <w:szCs w:val="22"/>
        </w:rPr>
        <w:t>Neonatology, 117</w:t>
      </w:r>
      <w:r w:rsidRPr="00FB4497">
        <w:rPr>
          <w:sz w:val="22"/>
          <w:szCs w:val="22"/>
        </w:rPr>
        <w:t xml:space="preserve">(2), 131–138. </w:t>
      </w:r>
      <w:hyperlink r:id="rId35" w:tgtFrame="_new" w:history="1">
        <w:r w:rsidRPr="00FB4497">
          <w:rPr>
            <w:rStyle w:val="Hyperlink"/>
            <w:sz w:val="22"/>
            <w:szCs w:val="22"/>
          </w:rPr>
          <w:t>https://doi.org/10.1159/000502345</w:t>
        </w:r>
      </w:hyperlink>
      <w:commentRangeEnd w:id="16"/>
      <w:r w:rsidR="00C37CFA" w:rsidRPr="00FB4497">
        <w:rPr>
          <w:rStyle w:val="CommentReference"/>
          <w:sz w:val="22"/>
          <w:szCs w:val="22"/>
        </w:rPr>
        <w:commentReference w:id="16"/>
      </w:r>
    </w:p>
    <w:p w14:paraId="1D4049AA" w14:textId="77777777" w:rsidR="00D24FD8" w:rsidRPr="00FB4497" w:rsidRDefault="00D24FD8" w:rsidP="00D24FD8">
      <w:pPr>
        <w:spacing w:line="240" w:lineRule="auto"/>
        <w:rPr>
          <w:sz w:val="22"/>
          <w:szCs w:val="22"/>
        </w:rPr>
        <w:sectPr w:rsidR="00D24FD8" w:rsidRPr="00FB4497" w:rsidSect="006640A8">
          <w:endnotePr>
            <w:numFmt w:val="decimal"/>
          </w:endnotePr>
          <w:type w:val="continuous"/>
          <w:pgSz w:w="11907" w:h="16840" w:code="9"/>
          <w:pgMar w:top="1418" w:right="1134" w:bottom="1418" w:left="1418" w:header="851" w:footer="851" w:gutter="0"/>
          <w:cols w:num="2" w:space="567"/>
          <w:noEndnote/>
          <w:docGrid w:linePitch="271"/>
        </w:sectPr>
      </w:pPr>
    </w:p>
    <w:p w14:paraId="4656C172" w14:textId="77777777" w:rsidR="00D24FD8" w:rsidRPr="00FB4497" w:rsidRDefault="00D24FD8" w:rsidP="00D24FD8">
      <w:pPr>
        <w:rPr>
          <w:sz w:val="22"/>
          <w:szCs w:val="22"/>
        </w:rPr>
      </w:pPr>
    </w:p>
    <w:p w14:paraId="0947FF38" w14:textId="77777777" w:rsidR="00A738A5" w:rsidRDefault="00A738A5"/>
    <w:sectPr w:rsidR="00A738A5"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ezlie bellatasie" w:date="2026-03-25T11:45:00Z" w:initials="rb">
    <w:p w14:paraId="0B16D152" w14:textId="77777777" w:rsidR="002B7019" w:rsidRDefault="002B7019" w:rsidP="002B7019">
      <w:pPr>
        <w:pStyle w:val="CommentText"/>
        <w:jc w:val="left"/>
      </w:pPr>
      <w:r>
        <w:rPr>
          <w:rStyle w:val="CommentReference"/>
        </w:rPr>
        <w:annotationRef/>
      </w:r>
      <w:r>
        <w:t xml:space="preserve">Judul terlalu umum, sebaiknya diperjelas analisis apa yang dilakukan, ditulis </w:t>
      </w:r>
      <w:r>
        <w:rPr>
          <w:color w:val="0B1F1A"/>
        </w:rPr>
        <w:t>singkat dan jelas dan mencerminkan isi naskah</w:t>
      </w:r>
      <w:r>
        <w:t xml:space="preserve"> </w:t>
      </w:r>
    </w:p>
  </w:comment>
  <w:comment w:id="0" w:author="rezlie bellatasie" w:date="2026-03-25T21:52:00Z" w:initials="rb">
    <w:p w14:paraId="0E621E5C" w14:textId="77777777" w:rsidR="00CE4BFA" w:rsidRDefault="00CE4BFA" w:rsidP="00CE4BFA">
      <w:pPr>
        <w:pStyle w:val="CommentText"/>
        <w:jc w:val="left"/>
      </w:pPr>
      <w:r>
        <w:rPr>
          <w:rStyle w:val="CommentReference"/>
        </w:rPr>
        <w:annotationRef/>
      </w:r>
      <w:r>
        <w:t>Mohon untuk TIDAK menghapus komentar. Silahkan melakukan perbaikan ataupun menjawab langsung komentar yang diberikan. Perubahan yang dilakukan harap ditandai agar mempercepat proses revisi</w:t>
      </w:r>
    </w:p>
  </w:comment>
  <w:comment w:id="2" w:author="rezlie bellatasie" w:date="2026-03-25T11:47:00Z" w:initials="rb">
    <w:p w14:paraId="6E9F753F" w14:textId="77777777" w:rsidR="002B7019" w:rsidRDefault="002B7019" w:rsidP="002B7019">
      <w:pPr>
        <w:pStyle w:val="CommentText"/>
        <w:jc w:val="left"/>
      </w:pPr>
      <w:r>
        <w:rPr>
          <w:rStyle w:val="CommentReference"/>
        </w:rPr>
        <w:annotationRef/>
      </w:r>
      <w:r>
        <w:rPr>
          <w:color w:val="000000"/>
        </w:rPr>
        <w:t>Abstrak harus jelas, singkat, dan deskriptif. Abstrak ditulis dalam bentuk narasi dalam satu paragraf,</w:t>
      </w:r>
      <w:r>
        <w:rPr>
          <w:color w:val="4F81BD"/>
        </w:rPr>
        <w:t xml:space="preserve"> </w:t>
      </w:r>
      <w:r>
        <w:rPr>
          <w:color w:val="000000"/>
        </w:rPr>
        <w:t xml:space="preserve">harus memberikan latar belakang singkat disertai dengan masalah, tujuan, metodologi, ringkasan hasil serta kesimpulan. </w:t>
      </w:r>
    </w:p>
    <w:p w14:paraId="7661E7E5" w14:textId="77777777" w:rsidR="002B7019" w:rsidRDefault="002B7019" w:rsidP="002B7019">
      <w:pPr>
        <w:pStyle w:val="CommentText"/>
        <w:jc w:val="left"/>
      </w:pPr>
    </w:p>
    <w:p w14:paraId="636BFF82" w14:textId="77777777" w:rsidR="002B7019" w:rsidRDefault="002B7019" w:rsidP="002B7019">
      <w:pPr>
        <w:pStyle w:val="CommentText"/>
        <w:jc w:val="left"/>
      </w:pPr>
      <w:r>
        <w:rPr>
          <w:color w:val="000000"/>
        </w:rPr>
        <w:t>Perlu penyesuaian kembali antara tujuan, hasil dan kesimpulan</w:t>
      </w:r>
    </w:p>
  </w:comment>
  <w:comment w:id="3" w:author="rezlie bellatasie" w:date="2026-03-25T11:48:00Z" w:initials="rb">
    <w:p w14:paraId="75EC9C3B" w14:textId="77777777" w:rsidR="002B7019" w:rsidRDefault="002B7019" w:rsidP="002B7019">
      <w:pPr>
        <w:pStyle w:val="CommentText"/>
        <w:jc w:val="left"/>
      </w:pPr>
      <w:r>
        <w:rPr>
          <w:rStyle w:val="CommentReference"/>
        </w:rPr>
        <w:annotationRef/>
      </w:r>
      <w:r>
        <w:t>Sesuaikan dengan abstrak bahasa Indonesia yang sudah fiks</w:t>
      </w:r>
    </w:p>
  </w:comment>
  <w:comment w:id="6" w:author="rezlie bellatasie" w:date="2026-03-25T11:50:00Z" w:initials="rb">
    <w:p w14:paraId="11B2F95A" w14:textId="77777777" w:rsidR="002B7019" w:rsidRDefault="002B7019" w:rsidP="002B7019">
      <w:pPr>
        <w:pStyle w:val="CommentText"/>
        <w:jc w:val="left"/>
      </w:pPr>
      <w:r>
        <w:rPr>
          <w:rStyle w:val="CommentReference"/>
        </w:rPr>
        <w:annotationRef/>
      </w:r>
      <w:r>
        <w:t>referensi</w:t>
      </w:r>
    </w:p>
  </w:comment>
  <w:comment w:id="4" w:author="rezlie bellatasie" w:date="2026-03-25T14:10:00Z" w:initials="rb">
    <w:p w14:paraId="4DCED32C" w14:textId="77777777" w:rsidR="00690726" w:rsidRDefault="00690726" w:rsidP="00690726">
      <w:pPr>
        <w:pStyle w:val="CommentText"/>
        <w:jc w:val="left"/>
      </w:pPr>
      <w:r>
        <w:rPr>
          <w:rStyle w:val="CommentReference"/>
        </w:rPr>
        <w:annotationRef/>
      </w:r>
      <w:r>
        <w:t>Belum terlihat masalah dalam penelitian; belum terlihat kaitan antara masalah tujuan dan novelti yang diharapkan; penelitian terdahulu untuk melihat gap penelitian masih sangat minim.</w:t>
      </w:r>
    </w:p>
  </w:comment>
  <w:comment w:id="5" w:author="rezlie bellatasie" w:date="2026-03-25T19:24:00Z" w:initials="rb">
    <w:p w14:paraId="586A9146" w14:textId="77777777" w:rsidR="00FB4950" w:rsidRDefault="00FB4950" w:rsidP="00FB4950">
      <w:pPr>
        <w:pStyle w:val="CommentText"/>
        <w:jc w:val="left"/>
      </w:pPr>
      <w:r>
        <w:rPr>
          <w:rStyle w:val="CommentReference"/>
        </w:rPr>
        <w:annotationRef/>
      </w:r>
      <w:r>
        <w:t>Sesuaikan tata cara penulisan referensi (gunakan referensi manajer ex mendeley) dan bahasa asing</w:t>
      </w:r>
    </w:p>
  </w:comment>
  <w:comment w:id="7" w:author="rezlie bellatasie" w:date="2026-03-25T19:26:00Z" w:initials="rb">
    <w:p w14:paraId="0800A782" w14:textId="77777777" w:rsidR="00FB4950" w:rsidRDefault="00FB4950" w:rsidP="00FB4950">
      <w:pPr>
        <w:pStyle w:val="CommentText"/>
        <w:jc w:val="left"/>
      </w:pPr>
      <w:r>
        <w:rPr>
          <w:rStyle w:val="CommentReference"/>
        </w:rPr>
        <w:annotationRef/>
      </w:r>
      <w:r>
        <w:t>Dibuat lebih detail (data apa yg diambil, setelah data diambil apa yg dilakukan, apa analisis yg dilakukan dengan SPSS sehingga dapat ditarik kesimpulan)</w:t>
      </w:r>
    </w:p>
  </w:comment>
  <w:comment w:id="8" w:author="rezlie bellatasie" w:date="2026-03-26T04:31:00Z" w:initials="rb">
    <w:p w14:paraId="016EFEB5" w14:textId="77777777" w:rsidR="00311438" w:rsidRDefault="00311438" w:rsidP="00311438">
      <w:pPr>
        <w:pStyle w:val="CommentText"/>
        <w:jc w:val="left"/>
      </w:pPr>
      <w:r>
        <w:rPr>
          <w:rStyle w:val="CommentReference"/>
        </w:rPr>
        <w:annotationRef/>
      </w:r>
      <w:r>
        <w:t>Pembahasan bisa diperdalam, terutama karena penelitian bersifat deskriptif</w:t>
      </w:r>
    </w:p>
  </w:comment>
  <w:comment w:id="9" w:author="rezlie bellatasie" w:date="2026-03-26T04:30:00Z" w:initials="rb">
    <w:p w14:paraId="5ACF8B02" w14:textId="77777777" w:rsidR="00311438" w:rsidRDefault="00311438" w:rsidP="00311438">
      <w:pPr>
        <w:pStyle w:val="CommentText"/>
        <w:jc w:val="left"/>
      </w:pPr>
      <w:r>
        <w:rPr>
          <w:rStyle w:val="CommentReference"/>
        </w:rPr>
        <w:annotationRef/>
      </w:r>
      <w:r>
        <w:t>Referensi? Berbeda dengan yang dicantumkan pada akhir paragraf.</w:t>
      </w:r>
    </w:p>
  </w:comment>
  <w:comment w:id="10" w:author="rezlie bellatasie" w:date="2026-03-25T19:33:00Z" w:initials="rb">
    <w:p w14:paraId="776EAEE7" w14:textId="77777777" w:rsidR="00FB4950" w:rsidRDefault="00FB4950" w:rsidP="00FB4950">
      <w:pPr>
        <w:pStyle w:val="CommentText"/>
        <w:jc w:val="left"/>
      </w:pPr>
      <w:r>
        <w:rPr>
          <w:rStyle w:val="CommentReference"/>
        </w:rPr>
        <w:annotationRef/>
      </w:r>
      <w:r>
        <w:t>Perbaiki tabel</w:t>
      </w:r>
    </w:p>
  </w:comment>
  <w:comment w:id="11" w:author="rezlie bellatasie" w:date="2026-03-25T21:38:00Z" w:initials="rb">
    <w:p w14:paraId="57AE17EB" w14:textId="77777777" w:rsidR="00C37CFA" w:rsidRDefault="00C37CFA" w:rsidP="00C37CFA">
      <w:pPr>
        <w:pStyle w:val="CommentText"/>
        <w:jc w:val="left"/>
      </w:pPr>
      <w:r>
        <w:rPr>
          <w:rStyle w:val="CommentReference"/>
        </w:rPr>
        <w:annotationRef/>
      </w:r>
      <w:r>
        <w:t>Hampir sama dengan paragraf di sebelah, bisa dipadatkan kalimatnya agar tidak berulang</w:t>
      </w:r>
    </w:p>
  </w:comment>
  <w:comment w:id="12" w:author="rezlie bellatasie" w:date="2026-03-25T21:39:00Z" w:initials="rb">
    <w:p w14:paraId="5579199B" w14:textId="77777777" w:rsidR="00C37CFA" w:rsidRDefault="00C37CFA" w:rsidP="00C37CFA">
      <w:pPr>
        <w:pStyle w:val="CommentText"/>
        <w:jc w:val="left"/>
      </w:pPr>
      <w:r>
        <w:rPr>
          <w:rStyle w:val="CommentReference"/>
        </w:rPr>
        <w:annotationRef/>
      </w:r>
      <w:r>
        <w:t>Sesuaikan kembali keterangan gambar</w:t>
      </w:r>
    </w:p>
  </w:comment>
  <w:comment w:id="13" w:author="rezlie bellatasie" w:date="2026-03-25T21:40:00Z" w:initials="rb">
    <w:p w14:paraId="182AFFD6" w14:textId="77777777" w:rsidR="00C37CFA" w:rsidRDefault="00C37CFA" w:rsidP="00C37CFA">
      <w:pPr>
        <w:pStyle w:val="CommentText"/>
        <w:jc w:val="left"/>
      </w:pPr>
      <w:r>
        <w:rPr>
          <w:rStyle w:val="CommentReference"/>
        </w:rPr>
        <w:annotationRef/>
      </w:r>
      <w:r>
        <w:t>Berdasarkan parameter apa disimpulkan sebagai angka kesembuhan?</w:t>
      </w:r>
    </w:p>
  </w:comment>
  <w:comment w:id="14" w:author="rezlie bellatasie" w:date="2026-03-25T21:41:00Z" w:initials="rb">
    <w:p w14:paraId="1FE418EE" w14:textId="77777777" w:rsidR="00C37CFA" w:rsidRDefault="00C37CFA" w:rsidP="00C37CFA">
      <w:pPr>
        <w:pStyle w:val="CommentText"/>
        <w:jc w:val="left"/>
      </w:pPr>
      <w:r>
        <w:rPr>
          <w:rStyle w:val="CommentReference"/>
        </w:rPr>
        <w:annotationRef/>
      </w:r>
      <w:r>
        <w:t>Sesuaikan keterangan gambar</w:t>
      </w:r>
    </w:p>
  </w:comment>
  <w:comment w:id="15" w:author="rezlie bellatasie" w:date="2026-03-25T21:51:00Z" w:initials="rb">
    <w:p w14:paraId="0A3C9F32" w14:textId="77777777" w:rsidR="00CE4BFA" w:rsidRDefault="00CE4BFA" w:rsidP="00CE4BFA">
      <w:pPr>
        <w:pStyle w:val="CommentText"/>
        <w:jc w:val="left"/>
      </w:pPr>
      <w:r>
        <w:rPr>
          <w:rStyle w:val="CommentReference"/>
        </w:rPr>
        <w:annotationRef/>
      </w:r>
      <w:r>
        <w:t>Kaitkan kembali dengan rumusan masalah dan tujuan penelitian</w:t>
      </w:r>
    </w:p>
  </w:comment>
  <w:comment w:id="16" w:author="rezlie bellatasie" w:date="2026-03-25T21:48:00Z" w:initials="rb">
    <w:p w14:paraId="1848F8EC" w14:textId="77777777" w:rsidR="00C37CFA" w:rsidRDefault="00C37CFA" w:rsidP="00C37CFA">
      <w:pPr>
        <w:pStyle w:val="CommentText"/>
        <w:jc w:val="left"/>
      </w:pPr>
      <w:r>
        <w:rPr>
          <w:rStyle w:val="CommentReference"/>
        </w:rPr>
        <w:annotationRef/>
      </w:r>
      <w:r>
        <w:t>Terdapat daftar pustaka yang tidak digunakan dalam artikel, mohon dilakukan pengecekan kembali</w:t>
      </w:r>
    </w:p>
    <w:p w14:paraId="4834F2D6" w14:textId="77777777" w:rsidR="00C37CFA" w:rsidRDefault="00C37CFA" w:rsidP="00C37CFA">
      <w:pPr>
        <w:pStyle w:val="CommentText"/>
        <w:jc w:val="left"/>
      </w:pPr>
      <w:r>
        <w:t>Sesuaikan dengan pedoman penulisan artikel JFH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16D152" w15:done="0"/>
  <w15:commentEx w15:paraId="0E621E5C" w15:done="0"/>
  <w15:commentEx w15:paraId="636BFF82" w15:done="0"/>
  <w15:commentEx w15:paraId="75EC9C3B" w15:done="0"/>
  <w15:commentEx w15:paraId="11B2F95A" w15:done="0"/>
  <w15:commentEx w15:paraId="4DCED32C" w15:done="0"/>
  <w15:commentEx w15:paraId="586A9146" w15:paraIdParent="4DCED32C" w15:done="0"/>
  <w15:commentEx w15:paraId="0800A782" w15:done="0"/>
  <w15:commentEx w15:paraId="016EFEB5" w15:done="0"/>
  <w15:commentEx w15:paraId="5ACF8B02" w15:done="0"/>
  <w15:commentEx w15:paraId="776EAEE7" w15:done="0"/>
  <w15:commentEx w15:paraId="57AE17EB" w15:done="0"/>
  <w15:commentEx w15:paraId="5579199B" w15:done="0"/>
  <w15:commentEx w15:paraId="182AFFD6" w15:done="0"/>
  <w15:commentEx w15:paraId="1FE418EE" w15:done="0"/>
  <w15:commentEx w15:paraId="0A3C9F32" w15:done="0"/>
  <w15:commentEx w15:paraId="4834F2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B5C03" w16cex:dateUtc="2026-03-25T04:45:00Z"/>
  <w16cex:commentExtensible w16cex:durableId="38D59BA4" w16cex:dateUtc="2026-03-25T14:52:00Z"/>
  <w16cex:commentExtensible w16cex:durableId="6100E798" w16cex:dateUtc="2026-03-25T04:47:00Z"/>
  <w16cex:commentExtensible w16cex:durableId="51F409E6" w16cex:dateUtc="2026-03-25T04:48:00Z"/>
  <w16cex:commentExtensible w16cex:durableId="3D7D19D8" w16cex:dateUtc="2026-03-25T04:50:00Z"/>
  <w16cex:commentExtensible w16cex:durableId="2222433A" w16cex:dateUtc="2026-03-25T07:10:00Z"/>
  <w16cex:commentExtensible w16cex:durableId="2C4923F9" w16cex:dateUtc="2026-03-25T12:24:00Z"/>
  <w16cex:commentExtensible w16cex:durableId="03BB65AB" w16cex:dateUtc="2026-03-25T12:26:00Z"/>
  <w16cex:commentExtensible w16cex:durableId="1869F0E6" w16cex:dateUtc="2026-03-25T21:31:00Z"/>
  <w16cex:commentExtensible w16cex:durableId="35068E04" w16cex:dateUtc="2026-03-25T21:30:00Z"/>
  <w16cex:commentExtensible w16cex:durableId="390E199B" w16cex:dateUtc="2026-03-25T12:33:00Z"/>
  <w16cex:commentExtensible w16cex:durableId="39D719BE" w16cex:dateUtc="2026-03-25T14:38:00Z"/>
  <w16cex:commentExtensible w16cex:durableId="3A6DB221" w16cex:dateUtc="2026-03-25T14:39:00Z"/>
  <w16cex:commentExtensible w16cex:durableId="1A91CC47" w16cex:dateUtc="2026-03-25T14:40:00Z"/>
  <w16cex:commentExtensible w16cex:durableId="1646ADA0" w16cex:dateUtc="2026-03-25T14:41:00Z"/>
  <w16cex:commentExtensible w16cex:durableId="5AC6E398" w16cex:dateUtc="2026-03-25T14:51:00Z"/>
  <w16cex:commentExtensible w16cex:durableId="4E2BD681" w16cex:dateUtc="2026-03-25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16D152" w16cid:durableId="2C6B5C03"/>
  <w16cid:commentId w16cid:paraId="0E621E5C" w16cid:durableId="38D59BA4"/>
  <w16cid:commentId w16cid:paraId="636BFF82" w16cid:durableId="6100E798"/>
  <w16cid:commentId w16cid:paraId="75EC9C3B" w16cid:durableId="51F409E6"/>
  <w16cid:commentId w16cid:paraId="11B2F95A" w16cid:durableId="3D7D19D8"/>
  <w16cid:commentId w16cid:paraId="4DCED32C" w16cid:durableId="2222433A"/>
  <w16cid:commentId w16cid:paraId="586A9146" w16cid:durableId="2C4923F9"/>
  <w16cid:commentId w16cid:paraId="0800A782" w16cid:durableId="03BB65AB"/>
  <w16cid:commentId w16cid:paraId="016EFEB5" w16cid:durableId="1869F0E6"/>
  <w16cid:commentId w16cid:paraId="5ACF8B02" w16cid:durableId="35068E04"/>
  <w16cid:commentId w16cid:paraId="776EAEE7" w16cid:durableId="390E199B"/>
  <w16cid:commentId w16cid:paraId="57AE17EB" w16cid:durableId="39D719BE"/>
  <w16cid:commentId w16cid:paraId="5579199B" w16cid:durableId="3A6DB221"/>
  <w16cid:commentId w16cid:paraId="182AFFD6" w16cid:durableId="1A91CC47"/>
  <w16cid:commentId w16cid:paraId="1FE418EE" w16cid:durableId="1646ADA0"/>
  <w16cid:commentId w16cid:paraId="0A3C9F32" w16cid:durableId="5AC6E398"/>
  <w16cid:commentId w16cid:paraId="4834F2D6" w16cid:durableId="4E2BD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1CCB7" w14:textId="77777777" w:rsidR="00C90F1C" w:rsidRDefault="00C90F1C" w:rsidP="00D24FD8">
      <w:pPr>
        <w:spacing w:line="240" w:lineRule="auto"/>
      </w:pPr>
      <w:r>
        <w:separator/>
      </w:r>
    </w:p>
  </w:endnote>
  <w:endnote w:type="continuationSeparator" w:id="0">
    <w:p w14:paraId="551CFE06" w14:textId="77777777" w:rsidR="00C90F1C" w:rsidRDefault="00C90F1C"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F20C" w14:textId="77777777" w:rsidR="00A738A5"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206B" w14:textId="77777777" w:rsidR="00C90F1C" w:rsidRDefault="00C90F1C" w:rsidP="00D24FD8">
      <w:pPr>
        <w:spacing w:line="240" w:lineRule="auto"/>
      </w:pPr>
      <w:r>
        <w:separator/>
      </w:r>
    </w:p>
  </w:footnote>
  <w:footnote w:type="continuationSeparator" w:id="0">
    <w:p w14:paraId="1B5AB24B" w14:textId="77777777" w:rsidR="00C90F1C" w:rsidRDefault="00C90F1C"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571D" w14:textId="77777777" w:rsidR="00A738A5" w:rsidRPr="0065515B" w:rsidRDefault="00075700" w:rsidP="0065515B">
    <w:pPr>
      <w:pStyle w:val="Title"/>
    </w:pPr>
    <w:r w:rsidRPr="0065515B">
      <w:t xml:space="preserve">  Petunjuk Penulisan Manuskrip untuk Jurnal </w:t>
    </w:r>
    <w:r w:rsidR="00D24FD8">
      <w:t>Farmasi Higea</w:t>
    </w:r>
    <w:r w:rsidRPr="0065515B">
      <w:t xml:space="preserve"> </w:t>
    </w:r>
  </w:p>
  <w:p w14:paraId="7306DAB6" w14:textId="77777777" w:rsidR="00A738A5" w:rsidRPr="0065515B" w:rsidRDefault="00A738A5"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C628" w14:textId="77777777" w:rsidR="00A738A5" w:rsidRDefault="00A738A5"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70AA"/>
    <w:multiLevelType w:val="hybridMultilevel"/>
    <w:tmpl w:val="D99A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351104425">
    <w:abstractNumId w:val="2"/>
  </w:num>
  <w:num w:numId="2" w16cid:durableId="2067799865">
    <w:abstractNumId w:val="1"/>
  </w:num>
  <w:num w:numId="3" w16cid:durableId="3440208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zlie bellatasie">
    <w15:presenceInfo w15:providerId="Windows Live" w15:userId="b4683399cbdac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75700"/>
    <w:rsid w:val="000A3957"/>
    <w:rsid w:val="000C4D3B"/>
    <w:rsid w:val="001808C0"/>
    <w:rsid w:val="001E49D7"/>
    <w:rsid w:val="002B7019"/>
    <w:rsid w:val="00311438"/>
    <w:rsid w:val="003217E8"/>
    <w:rsid w:val="00372688"/>
    <w:rsid w:val="004A6884"/>
    <w:rsid w:val="00585F52"/>
    <w:rsid w:val="00601F4A"/>
    <w:rsid w:val="00690726"/>
    <w:rsid w:val="00694BF7"/>
    <w:rsid w:val="007862DA"/>
    <w:rsid w:val="00800CFF"/>
    <w:rsid w:val="00820994"/>
    <w:rsid w:val="0084270E"/>
    <w:rsid w:val="00884871"/>
    <w:rsid w:val="009A691F"/>
    <w:rsid w:val="00A414EB"/>
    <w:rsid w:val="00A738A5"/>
    <w:rsid w:val="00AC443F"/>
    <w:rsid w:val="00B90D62"/>
    <w:rsid w:val="00C327FC"/>
    <w:rsid w:val="00C37CFA"/>
    <w:rsid w:val="00C90F1C"/>
    <w:rsid w:val="00CE4BFA"/>
    <w:rsid w:val="00D24FD8"/>
    <w:rsid w:val="00EA728B"/>
    <w:rsid w:val="00FB4497"/>
    <w:rsid w:val="00FB4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841A"/>
  <w15:docId w15:val="{FC701214-F392-A54C-A605-C61D4602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694BF7"/>
    <w:pPr>
      <w:keepNext/>
      <w:spacing w:line="240" w:lineRule="auto"/>
      <w:jc w:val="center"/>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694BF7"/>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84270E"/>
    <w:rPr>
      <w:color w:val="605E5C"/>
      <w:shd w:val="clear" w:color="auto" w:fill="E1DFDD"/>
    </w:rPr>
  </w:style>
  <w:style w:type="character" w:styleId="Emphasis">
    <w:name w:val="Emphasis"/>
    <w:uiPriority w:val="20"/>
    <w:qFormat/>
    <w:rsid w:val="001808C0"/>
    <w:rPr>
      <w:i/>
      <w:iCs/>
    </w:rPr>
  </w:style>
  <w:style w:type="paragraph" w:styleId="NormalWeb">
    <w:name w:val="Normal (Web)"/>
    <w:basedOn w:val="Normal"/>
    <w:uiPriority w:val="99"/>
    <w:rsid w:val="00EA728B"/>
    <w:pPr>
      <w:widowControl/>
      <w:suppressAutoHyphens/>
      <w:autoSpaceDE/>
      <w:autoSpaceDN/>
      <w:adjustRightInd/>
      <w:spacing w:after="160" w:line="256" w:lineRule="auto"/>
      <w:jc w:val="left"/>
      <w:textAlignment w:val="auto"/>
    </w:pPr>
    <w:rPr>
      <w:rFonts w:eastAsia="Calibri"/>
      <w:kern w:val="0"/>
      <w:szCs w:val="24"/>
      <w:lang w:val="id-ID" w:eastAsia="ar-SA"/>
    </w:rPr>
  </w:style>
  <w:style w:type="character" w:styleId="CommentReference">
    <w:name w:val="annotation reference"/>
    <w:basedOn w:val="DefaultParagraphFont"/>
    <w:uiPriority w:val="99"/>
    <w:semiHidden/>
    <w:unhideWhenUsed/>
    <w:rsid w:val="002B7019"/>
    <w:rPr>
      <w:sz w:val="16"/>
      <w:szCs w:val="16"/>
    </w:rPr>
  </w:style>
  <w:style w:type="paragraph" w:styleId="CommentText">
    <w:name w:val="annotation text"/>
    <w:basedOn w:val="Normal"/>
    <w:link w:val="CommentTextChar"/>
    <w:uiPriority w:val="99"/>
    <w:unhideWhenUsed/>
    <w:rsid w:val="002B7019"/>
    <w:pPr>
      <w:spacing w:line="240" w:lineRule="auto"/>
    </w:pPr>
    <w:rPr>
      <w:sz w:val="20"/>
    </w:rPr>
  </w:style>
  <w:style w:type="character" w:customStyle="1" w:styleId="CommentTextChar">
    <w:name w:val="Comment Text Char"/>
    <w:basedOn w:val="DefaultParagraphFont"/>
    <w:link w:val="CommentText"/>
    <w:uiPriority w:val="99"/>
    <w:rsid w:val="002B701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2B7019"/>
    <w:rPr>
      <w:b/>
      <w:bCs/>
    </w:rPr>
  </w:style>
  <w:style w:type="character" w:customStyle="1" w:styleId="CommentSubjectChar">
    <w:name w:val="Comment Subject Char"/>
    <w:basedOn w:val="CommentTextChar"/>
    <w:link w:val="CommentSubject"/>
    <w:uiPriority w:val="99"/>
    <w:semiHidden/>
    <w:rsid w:val="002B7019"/>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doi.org/10.3233/NPM-210789" TargetMode="External"/><Relationship Id="rId26" Type="http://schemas.openxmlformats.org/officeDocument/2006/relationships/hyperlink" Target="https://doi.org/10.1016/S2213-2600(18)30063-8" TargetMode="External"/><Relationship Id="rId21" Type="http://schemas.openxmlformats.org/officeDocument/2006/relationships/hyperlink" Target="https://doi.org/10.1016/j.semperi.2020.151159" TargetMode="External"/><Relationship Id="rId34" Type="http://schemas.openxmlformats.org/officeDocument/2006/relationships/hyperlink" Target="https://doi.org/10.3389/fped.2021.690702" TargetMode="External"/><Relationship Id="rId7" Type="http://schemas.openxmlformats.org/officeDocument/2006/relationships/endnotes" Target="endnotes.xml"/><Relationship Id="rId12" Type="http://schemas.openxmlformats.org/officeDocument/2006/relationships/hyperlink" Target="mailto:nurul.farmasi@hangtuah.ac.id" TargetMode="External"/><Relationship Id="rId17" Type="http://schemas.openxmlformats.org/officeDocument/2006/relationships/image" Target="media/image2.png"/><Relationship Id="rId25" Type="http://schemas.openxmlformats.org/officeDocument/2006/relationships/hyperlink" Target="https://doi.org/10.1016/S2352-4642(24)00021-9" TargetMode="External"/><Relationship Id="rId33" Type="http://schemas.openxmlformats.org/officeDocument/2006/relationships/hyperlink" Target="https://doi.org/10.1016/j.earlhumdev.2019.10491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doi.org/10.1186/s12887-020-02247-w" TargetMode="External"/><Relationship Id="rId29" Type="http://schemas.openxmlformats.org/officeDocument/2006/relationships/hyperlink" Target="https://doi.org/10.1001/jamapediatrics.2019.28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16/j.clp.2019.11.001" TargetMode="External"/><Relationship Id="rId32" Type="http://schemas.openxmlformats.org/officeDocument/2006/relationships/hyperlink" Target="https://doi.org/10.1055/s-0034-1393932"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doi.org/10.1097/MOP.0000000000000318" TargetMode="External"/><Relationship Id="rId28" Type="http://schemas.openxmlformats.org/officeDocument/2006/relationships/hyperlink" Target="https://doi.org/10.3389/fped.2018.00285" TargetMode="External"/><Relationship Id="rId36"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doi.org/10.1542/peds.2018-2894" TargetMode="External"/><Relationship Id="rId31" Type="http://schemas.openxmlformats.org/officeDocument/2006/relationships/hyperlink" Target="https://doi.org/10.1016/j.siny.2023.101115"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hyperlink" Target="https://doi.org/10.1038/jp.2016.166" TargetMode="External"/><Relationship Id="rId27" Type="http://schemas.openxmlformats.org/officeDocument/2006/relationships/hyperlink" Target="https://doi.org/10.3389/fped.2024.1388447" TargetMode="External"/><Relationship Id="rId30" Type="http://schemas.openxmlformats.org/officeDocument/2006/relationships/hyperlink" Target="https://doi.org/10.1097/INF.0000000000003076" TargetMode="External"/><Relationship Id="rId35" Type="http://schemas.openxmlformats.org/officeDocument/2006/relationships/hyperlink" Target="https://doi.org/10.1159/000502345" TargetMode="External"/><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C027-BC8C-4941-8550-D9A7DA7E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7</Pages>
  <Words>3411</Words>
  <Characters>19445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rezlie bellatasie</cp:lastModifiedBy>
  <cp:revision>3</cp:revision>
  <dcterms:created xsi:type="dcterms:W3CDTF">2026-02-12T03:07:00Z</dcterms:created>
  <dcterms:modified xsi:type="dcterms:W3CDTF">2026-03-25T21:31:00Z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32ac4f33-c75d-47b4-9045-080871ec07b1</vt:lpwstr>
  </property>
  <property fmtid="{D5CDD505-2E9C-101B-9397-08002B2CF9AE}" pid="3" name="Mendeley Recent Style Id 0_1">
    <vt:lpwstr>http://www.zotero.org/styles/acs-medicinal-chemistry-letters</vt:lpwstr>
  </property>
  <property fmtid="{D5CDD505-2E9C-101B-9397-08002B2CF9AE}" pid="4" name="Mendeley Recent Style Name 0_1">
    <vt:lpwstr>ACS Medicinal Chemistry Letters</vt:lpwstr>
  </property>
  <property fmtid="{D5CDD505-2E9C-101B-9397-08002B2CF9AE}" pid="5" name="Mendeley Recent Style Id 1_1">
    <vt:lpwstr>http://www.zotero.org/styles/american-medical-association</vt:lpwstr>
  </property>
  <property fmtid="{D5CDD505-2E9C-101B-9397-08002B2CF9AE}" pid="6" name="Mendeley Recent Style Name 1_1">
    <vt:lpwstr>American Medical Association 11th edition</vt:lpwstr>
  </property>
  <property fmtid="{D5CDD505-2E9C-101B-9397-08002B2CF9AE}" pid="7" name="Mendeley Recent Style Id 2_1">
    <vt:lpwstr>http://www.zotero.org/styles/american-political-science-association</vt:lpwstr>
  </property>
  <property fmtid="{D5CDD505-2E9C-101B-9397-08002B2CF9AE}" pid="8" name="Mendeley Recent Style Name 2_1">
    <vt:lpwstr>American Political Science Association</vt:lpwstr>
  </property>
  <property fmtid="{D5CDD505-2E9C-101B-9397-08002B2CF9AE}" pid="9" name="Mendeley Recent Style Id 3_1">
    <vt:lpwstr>http://www.zotero.org/styles/apa</vt:lpwstr>
  </property>
  <property fmtid="{D5CDD505-2E9C-101B-9397-08002B2CF9AE}" pid="10" name="Mendeley Recent Style Name 3_1">
    <vt:lpwstr>American Psychological Association 7th edition</vt:lpwstr>
  </property>
  <property fmtid="{D5CDD505-2E9C-101B-9397-08002B2CF9AE}" pid="11" name="Mendeley Recent Style Id 4_1">
    <vt:lpwstr>http://www.zotero.org/styles/american-sociological-association</vt:lpwstr>
  </property>
  <property fmtid="{D5CDD505-2E9C-101B-9397-08002B2CF9AE}" pid="12" name="Mendeley Recent Style Name 4_1">
    <vt:lpwstr>American Sociological Association 6th edition</vt:lpwstr>
  </property>
  <property fmtid="{D5CDD505-2E9C-101B-9397-08002B2CF9AE}" pid="13" name="Mendeley Recent Style Id 5_1">
    <vt:lpwstr>http://www.zotero.org/styles/chicago-author-date</vt:lpwstr>
  </property>
  <property fmtid="{D5CDD505-2E9C-101B-9397-08002B2CF9AE}" pid="14" name="Mendeley Recent Style Name 5_1">
    <vt:lpwstr>Chicago Manual of Style 17th edition (author-date)</vt:lpwstr>
  </property>
  <property fmtid="{D5CDD505-2E9C-101B-9397-08002B2CF9AE}" pid="15" name="Mendeley Recent Style Id 6_1">
    <vt:lpwstr>http://www.zotero.org/styles/harvard1</vt:lpwstr>
  </property>
  <property fmtid="{D5CDD505-2E9C-101B-9397-08002B2CF9AE}" pid="16" name="Mendeley Recent Style Name 6_1">
    <vt:lpwstr>Harvard reference format 1 (deprecated)</vt:lpwstr>
  </property>
  <property fmtid="{D5CDD505-2E9C-101B-9397-08002B2CF9AE}" pid="17" name="Mendeley Recent Style Id 7_1">
    <vt:lpwstr>http://www.zotero.org/styles/ieee</vt:lpwstr>
  </property>
  <property fmtid="{D5CDD505-2E9C-101B-9397-08002B2CF9AE}" pid="18" name="Mendeley Recent Style Name 7_1">
    <vt:lpwstr>IEEE</vt:lpwstr>
  </property>
  <property fmtid="{D5CDD505-2E9C-101B-9397-08002B2CF9AE}" pid="19" name="Mendeley Recent Style Id 8_1">
    <vt:lpwstr>http://www.zotero.org/styles/modern-humanities-research-association</vt:lpwstr>
  </property>
  <property fmtid="{D5CDD505-2E9C-101B-9397-08002B2CF9AE}" pid="20" name="Mendeley Recent Style Name 8_1">
    <vt:lpwstr>Modern Humanities Research Association 3rd edition (note with bibliography)</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ies>
</file>