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9D7B1A" w14:textId="77777777" w:rsidR="00D90DF5" w:rsidRDefault="00D90DF5" w:rsidP="00D24FD8">
      <w:pPr>
        <w:pStyle w:val="Title"/>
        <w:jc w:val="center"/>
        <w:rPr>
          <w:i w:val="0"/>
          <w:sz w:val="28"/>
          <w:szCs w:val="28"/>
        </w:rPr>
      </w:pPr>
      <w:r w:rsidRPr="00D90DF5">
        <w:rPr>
          <w:i w:val="0"/>
          <w:sz w:val="28"/>
          <w:szCs w:val="28"/>
        </w:rPr>
        <w:t xml:space="preserve">PROFIL PENGGUNAAN DAN KEAMANAN OBAT ANTI INFLAMASI NON STEROID (OAINS) PADA PASIEN OSTEOARTRITIS </w:t>
      </w:r>
    </w:p>
    <w:p w14:paraId="07CEF4B2" w14:textId="298E0D35" w:rsidR="00D90DF5" w:rsidRDefault="00D90DF5" w:rsidP="00D24FD8">
      <w:pPr>
        <w:pStyle w:val="Title"/>
        <w:jc w:val="center"/>
        <w:rPr>
          <w:i w:val="0"/>
          <w:sz w:val="28"/>
          <w:szCs w:val="28"/>
        </w:rPr>
      </w:pPr>
      <w:r w:rsidRPr="00D90DF5">
        <w:rPr>
          <w:i w:val="0"/>
          <w:sz w:val="28"/>
          <w:szCs w:val="28"/>
        </w:rPr>
        <w:t xml:space="preserve">DI RS X KUDUS </w:t>
      </w:r>
    </w:p>
    <w:p w14:paraId="41ED58D7" w14:textId="77777777" w:rsidR="00D90DF5" w:rsidRPr="00D90DF5" w:rsidRDefault="00D90DF5" w:rsidP="00D90DF5">
      <w:pPr>
        <w:pStyle w:val="Authors"/>
      </w:pPr>
    </w:p>
    <w:p w14:paraId="75EE9E75" w14:textId="77777777" w:rsidR="00D90DF5" w:rsidRDefault="00D90DF5" w:rsidP="00D24FD8">
      <w:pPr>
        <w:pStyle w:val="Addresses"/>
        <w:spacing w:line="240" w:lineRule="auto"/>
        <w:rPr>
          <w:b/>
          <w:sz w:val="20"/>
        </w:rPr>
      </w:pPr>
      <w:r w:rsidRPr="00D90DF5">
        <w:rPr>
          <w:b/>
          <w:sz w:val="20"/>
        </w:rPr>
        <w:t xml:space="preserve">Dera Muqti Annisa 1*, Endang Setyowati 2, Intan Adevia Rosnarita 3 </w:t>
      </w:r>
    </w:p>
    <w:p w14:paraId="23E64E9D" w14:textId="07B44C58" w:rsidR="00D24FD8" w:rsidRPr="00D90DF5" w:rsidRDefault="00D24FD8" w:rsidP="00D24FD8">
      <w:pPr>
        <w:pStyle w:val="Addresses"/>
        <w:spacing w:line="240" w:lineRule="auto"/>
        <w:rPr>
          <w:i w:val="0"/>
          <w:color w:val="FF0000"/>
          <w:sz w:val="20"/>
        </w:rPr>
      </w:pPr>
    </w:p>
    <w:p w14:paraId="55629DEC" w14:textId="2F07B9D6" w:rsidR="00D24FD8" w:rsidRPr="00D90DF5" w:rsidRDefault="00D24FD8" w:rsidP="00D24FD8">
      <w:pPr>
        <w:pStyle w:val="Addresses"/>
        <w:spacing w:line="240" w:lineRule="auto"/>
        <w:rPr>
          <w:sz w:val="16"/>
          <w:szCs w:val="16"/>
        </w:rPr>
      </w:pPr>
      <w:r w:rsidRPr="00D90DF5">
        <w:rPr>
          <w:b/>
          <w:sz w:val="16"/>
          <w:szCs w:val="16"/>
          <w:vertAlign w:val="superscript"/>
        </w:rPr>
        <w:t>1</w:t>
      </w:r>
      <w:r w:rsidR="00D90DF5" w:rsidRPr="00D90DF5">
        <w:rPr>
          <w:sz w:val="16"/>
          <w:szCs w:val="16"/>
        </w:rPr>
        <w:t>Farmasi</w:t>
      </w:r>
      <w:r w:rsidRPr="00D90DF5">
        <w:rPr>
          <w:sz w:val="16"/>
          <w:szCs w:val="16"/>
        </w:rPr>
        <w:t xml:space="preserve">, </w:t>
      </w:r>
      <w:r w:rsidR="00D90DF5" w:rsidRPr="00D90DF5">
        <w:rPr>
          <w:sz w:val="16"/>
          <w:szCs w:val="16"/>
        </w:rPr>
        <w:t>Fakultas Farmasi</w:t>
      </w:r>
      <w:r w:rsidRPr="00D90DF5">
        <w:rPr>
          <w:sz w:val="16"/>
          <w:szCs w:val="16"/>
        </w:rPr>
        <w:t xml:space="preserve">, </w:t>
      </w:r>
      <w:r w:rsidR="00D90DF5" w:rsidRPr="00D90DF5">
        <w:rPr>
          <w:sz w:val="16"/>
          <w:szCs w:val="16"/>
        </w:rPr>
        <w:t>Universitas Muhammadiyah Kudus</w:t>
      </w:r>
      <w:r w:rsidRPr="00D90DF5">
        <w:rPr>
          <w:sz w:val="16"/>
          <w:szCs w:val="16"/>
        </w:rPr>
        <w:t>,</w:t>
      </w:r>
      <w:r w:rsidR="00D90DF5" w:rsidRPr="00D90DF5">
        <w:rPr>
          <w:sz w:val="16"/>
          <w:szCs w:val="16"/>
        </w:rPr>
        <w:t xml:space="preserve"> Indonesia</w:t>
      </w:r>
    </w:p>
    <w:p w14:paraId="43514C1D" w14:textId="7B908548" w:rsidR="00D24FD8" w:rsidRPr="00D90DF5" w:rsidRDefault="00D24FD8" w:rsidP="00D24FD8">
      <w:pPr>
        <w:pStyle w:val="Addresses"/>
        <w:spacing w:line="240" w:lineRule="auto"/>
        <w:rPr>
          <w:sz w:val="16"/>
          <w:szCs w:val="16"/>
          <w:lang w:val="id-ID"/>
        </w:rPr>
      </w:pPr>
      <w:r w:rsidRPr="00D90DF5">
        <w:rPr>
          <w:b/>
          <w:i w:val="0"/>
          <w:sz w:val="16"/>
          <w:szCs w:val="16"/>
          <w:vertAlign w:val="superscript"/>
        </w:rPr>
        <w:t>2</w:t>
      </w:r>
      <w:r w:rsidR="00D90DF5">
        <w:rPr>
          <w:sz w:val="16"/>
          <w:szCs w:val="16"/>
        </w:rPr>
        <w:t>Universitas Muhammadiyah Kudus</w:t>
      </w:r>
      <w:r w:rsidRPr="00D90DF5">
        <w:rPr>
          <w:sz w:val="16"/>
          <w:szCs w:val="16"/>
        </w:rPr>
        <w:t>, K</w:t>
      </w:r>
      <w:r w:rsidR="00D90DF5">
        <w:rPr>
          <w:sz w:val="16"/>
          <w:szCs w:val="16"/>
        </w:rPr>
        <w:t>udus</w:t>
      </w:r>
      <w:r w:rsidRPr="00D90DF5">
        <w:rPr>
          <w:sz w:val="16"/>
          <w:szCs w:val="16"/>
        </w:rPr>
        <w:t xml:space="preserve">, </w:t>
      </w:r>
      <w:r w:rsidR="00D90DF5">
        <w:rPr>
          <w:sz w:val="16"/>
          <w:szCs w:val="16"/>
        </w:rPr>
        <w:t>Indonesia</w:t>
      </w:r>
    </w:p>
    <w:p w14:paraId="20E1C529" w14:textId="2AD82537" w:rsidR="00D24FD8" w:rsidRPr="00D90DF5" w:rsidRDefault="00D24FD8" w:rsidP="00D24FD8">
      <w:pPr>
        <w:pStyle w:val="Addresses"/>
        <w:spacing w:line="240" w:lineRule="auto"/>
        <w:rPr>
          <w:sz w:val="16"/>
          <w:szCs w:val="16"/>
        </w:rPr>
      </w:pPr>
      <w:r w:rsidRPr="00D90DF5">
        <w:rPr>
          <w:sz w:val="16"/>
          <w:szCs w:val="16"/>
        </w:rPr>
        <w:t xml:space="preserve">*E-mail: </w:t>
      </w:r>
      <w:r w:rsidR="00D90DF5" w:rsidRPr="00D90DF5">
        <w:rPr>
          <w:sz w:val="16"/>
          <w:szCs w:val="16"/>
        </w:rPr>
        <w:t>endangsetyowati@std.umku.ac.id</w:t>
      </w:r>
    </w:p>
    <w:p w14:paraId="3A4795B3" w14:textId="77777777" w:rsidR="00D24FD8" w:rsidRPr="001B7205" w:rsidRDefault="00D24FD8" w:rsidP="00D24FD8">
      <w:pPr>
        <w:pStyle w:val="Addresses"/>
        <w:spacing w:line="240" w:lineRule="auto"/>
        <w:rPr>
          <w:i w:val="0"/>
        </w:rPr>
      </w:pPr>
    </w:p>
    <w:p w14:paraId="6746BA88" w14:textId="5A717969" w:rsidR="00D24FD8" w:rsidRPr="0065515B" w:rsidRDefault="00D90DF5" w:rsidP="00D24FD8">
      <w:pPr>
        <w:pStyle w:val="Heading1"/>
      </w:pPr>
      <w:r>
        <w:t>ABSTRAK</w:t>
      </w:r>
    </w:p>
    <w:p w14:paraId="7212BBFD" w14:textId="77777777" w:rsidR="00706FCF" w:rsidRPr="00706FCF" w:rsidRDefault="00706FCF" w:rsidP="00706FCF">
      <w:pPr>
        <w:pStyle w:val="Body"/>
        <w:spacing w:line="240" w:lineRule="auto"/>
        <w:rPr>
          <w:sz w:val="20"/>
          <w:lang w:val="en-AU"/>
        </w:rPr>
      </w:pPr>
      <w:r w:rsidRPr="00706FCF">
        <w:rPr>
          <w:sz w:val="20"/>
          <w:lang w:val="en-AU"/>
        </w:rPr>
        <w:t>Osteoartritis (OA) merupakan penyakit peradangan sendi sinovium yang paling umum ditemui pada populasi lansia dan orang dewasa khususnya wanita yang menjadi faktor utama penyebab disabilitas yang signifikan dalam aktivita sehari-hari. Pada terapi farmakologi digunakan obat anti inflamasi non steroid (OAINS) sebagai pilihan utama dalam pengobatan osteoartritis. Penelitian ini bertujuan untuk menganalisis serta mengevaluasi profil penggunaan dan efek samping dari obat anti inflamasi non steroid (OAINS) pada pasien osteoartritis di RS X Kudus. Penelitian ini menggunakan desain descriptive univariat dengan pengambilan data retrospektif dari data rekam medis pasien melalui metode purposive sampling. Analisis data meliputi karakteristik pasien, profil penggunaan OAINS, serta prevalensi efek samping.</w:t>
      </w:r>
    </w:p>
    <w:p w14:paraId="3154625A" w14:textId="53C2C029" w:rsidR="00706FCF" w:rsidRDefault="00706FCF" w:rsidP="00706FCF">
      <w:pPr>
        <w:pStyle w:val="Body"/>
        <w:spacing w:line="240" w:lineRule="auto"/>
        <w:ind w:firstLine="567"/>
        <w:rPr>
          <w:b/>
          <w:sz w:val="20"/>
        </w:rPr>
      </w:pPr>
      <w:r w:rsidRPr="00706FCF">
        <w:rPr>
          <w:sz w:val="20"/>
          <w:lang w:val="en-AU"/>
        </w:rPr>
        <w:t>Hasil penelitian menunjukan bahwa pasien OA di RS X Kudus di dominasi oleh jenis kelamin perempuan (72,9%), kelompok usia 56-65 (34,7%), IMT (53,4%), durasi penyakit &gt;12 bulan (55,9%), jenis perawatan rawat jalan (89,8%), durasi terapi OAINS &gt; 3 minggu (78,8%), terapi yang didapatkan OAINS selektif (62,7%), dengan penyakit penyerta terbanyak hipertensi (20,3%), dan penggunaan obat lainnya terbanyak yaitu suplemen (43,2%). Profil penggunaan OAINS menunjukkan bahwa OAINS selektif lebih banyak digunakan, yaitu pada 74 pasien (62,7%), dengan meloxicam dosis 15 mg sebagai OAINS yang paling sering diresepkan sebanyak 48 pasien (40,7%). Keamanan penggunaan OAINS secara umum tergolong baik karena sebagian besar pasien tidak mengalami efek samping, yaitu sebanyak 83 pasien (70,3%), dengan dispepsia sebagai efek samping terbanyak yang dialami oleh 26 pasien (22,0%).</w:t>
      </w:r>
    </w:p>
    <w:p w14:paraId="567FEDF6" w14:textId="77777777" w:rsidR="00706FCF" w:rsidRDefault="00D24FD8" w:rsidP="00706FCF">
      <w:pPr>
        <w:pStyle w:val="Body"/>
        <w:spacing w:line="240" w:lineRule="auto"/>
        <w:ind w:firstLine="0"/>
        <w:rPr>
          <w:sz w:val="20"/>
        </w:rPr>
      </w:pPr>
      <w:r>
        <w:rPr>
          <w:b/>
          <w:sz w:val="20"/>
        </w:rPr>
        <w:t>Kata kunci</w:t>
      </w:r>
      <w:r w:rsidRPr="00906FB4">
        <w:rPr>
          <w:b/>
          <w:sz w:val="20"/>
        </w:rPr>
        <w:t xml:space="preserve">:  </w:t>
      </w:r>
      <w:r w:rsidR="00706FCF" w:rsidRPr="00706FCF">
        <w:rPr>
          <w:sz w:val="20"/>
        </w:rPr>
        <w:t xml:space="preserve">Keamanan obat, OAINS, Osteoartritis, Profil penggunaan obat </w:t>
      </w:r>
    </w:p>
    <w:p w14:paraId="3A9DA5E4" w14:textId="77777777" w:rsidR="00D24FD8" w:rsidRPr="00E64B01" w:rsidRDefault="00D24FD8" w:rsidP="00706FCF">
      <w:pPr>
        <w:pStyle w:val="Addresses"/>
        <w:spacing w:line="240" w:lineRule="auto"/>
        <w:jc w:val="both"/>
        <w:rPr>
          <w:i w:val="0"/>
          <w:color w:val="FF0000"/>
        </w:rPr>
      </w:pPr>
    </w:p>
    <w:p w14:paraId="4CF1E57B" w14:textId="0AD20DD2" w:rsidR="00D24FD8" w:rsidRPr="00AC443F" w:rsidRDefault="00706FCF" w:rsidP="00D24FD8">
      <w:pPr>
        <w:pStyle w:val="Heading1"/>
      </w:pPr>
      <w:commentRangeStart w:id="0"/>
      <w:r w:rsidRPr="00AC443F">
        <w:t>ABSTRACT</w:t>
      </w:r>
      <w:commentRangeEnd w:id="0"/>
      <w:r w:rsidR="00235C52">
        <w:rPr>
          <w:rStyle w:val="CommentReference"/>
          <w:b w:val="0"/>
          <w:kern w:val="2"/>
        </w:rPr>
        <w:commentReference w:id="0"/>
      </w:r>
    </w:p>
    <w:p w14:paraId="34B186A6" w14:textId="77777777" w:rsidR="00706FCF" w:rsidRPr="00706FCF" w:rsidRDefault="00706FCF" w:rsidP="00706FCF">
      <w:pPr>
        <w:spacing w:line="240" w:lineRule="auto"/>
        <w:ind w:firstLine="567"/>
        <w:rPr>
          <w:rStyle w:val="hps"/>
          <w:kern w:val="0"/>
          <w:sz w:val="20"/>
          <w:lang w:val="en"/>
        </w:rPr>
      </w:pPr>
      <w:r w:rsidRPr="00706FCF">
        <w:rPr>
          <w:rStyle w:val="hps"/>
          <w:kern w:val="0"/>
          <w:sz w:val="20"/>
          <w:lang w:val="en"/>
        </w:rPr>
        <w:t>Osteoarthritis (OA) is the most common inflammatory disease of the synovial joints found in the elderly population and adults, especially women, and is a major cause of significant disability in daily activities. In pharmacological therapy, non-steroidal anti-inflammatory drugs (NSAIDs) are used as the primary treatment for osteoarthritis. This study aims to analyse and evaluate the usage profile and side effects of non-steroidal anti-inflammatory drugs (NSAIDs) in osteoarthritis patients at X KUDUS Hospital. This study uses a descriptive univariate design with retrospective data collection from patient medical records through purposive sampling. Data analysis includes patient characteristics, NSAID usage profile, and prevalence of side effects.</w:t>
      </w:r>
    </w:p>
    <w:p w14:paraId="0DD490BF" w14:textId="19874BE6" w:rsidR="00706FCF" w:rsidRDefault="00706FCF" w:rsidP="00706FCF">
      <w:pPr>
        <w:spacing w:line="240" w:lineRule="auto"/>
        <w:ind w:firstLine="567"/>
        <w:rPr>
          <w:b/>
          <w:sz w:val="20"/>
        </w:rPr>
      </w:pPr>
      <w:r w:rsidRPr="00706FCF">
        <w:rPr>
          <w:rStyle w:val="hps"/>
          <w:kern w:val="0"/>
          <w:sz w:val="20"/>
          <w:lang w:val="en"/>
        </w:rPr>
        <w:t>The results showed that OA patients at RS X KUDUS were predominantly female (72.9%), aged 56-65 (34.7%), with a BMI of 53.4%, disease duration &gt;12 months (55.9%), outpatient care (89.8%), NSAID therapy duration &gt; 3 weeks (78.8%), selective NSAID therapy (62.7%), with hypertension as the most common comorbid condition (20.3%), and the most common use of other drugs being supplements (43.2%). The NSAID usage profile showed that selective NSAIDs were more commonly NSAID in 48 patients (40.7%). The safety of NSAID use was generally good, as most patients did not experience side effects, namely 83 patients (70.3%), with dyspepsia being the most common side effect experienced by 26 patients (22.0%).</w:t>
      </w:r>
    </w:p>
    <w:p w14:paraId="785956C0" w14:textId="36860515" w:rsidR="00D24FD8" w:rsidRPr="00706FCF" w:rsidRDefault="00D24FD8" w:rsidP="00D24FD8">
      <w:pPr>
        <w:spacing w:line="240" w:lineRule="auto"/>
        <w:rPr>
          <w:b/>
          <w:iCs/>
          <w:sz w:val="20"/>
        </w:rPr>
      </w:pPr>
      <w:commentRangeStart w:id="1"/>
      <w:commentRangeStart w:id="2"/>
      <w:r w:rsidRPr="00AC443F">
        <w:rPr>
          <w:b/>
          <w:sz w:val="20"/>
        </w:rPr>
        <w:t>Keywords</w:t>
      </w:r>
      <w:r w:rsidRPr="00AC443F">
        <w:rPr>
          <w:b/>
          <w:i/>
          <w:sz w:val="20"/>
        </w:rPr>
        <w:t>:</w:t>
      </w:r>
      <w:r w:rsidRPr="0065515B">
        <w:rPr>
          <w:b/>
          <w:i/>
          <w:sz w:val="20"/>
        </w:rPr>
        <w:t xml:space="preserve"> </w:t>
      </w:r>
      <w:r w:rsidR="00706FCF" w:rsidRPr="00706FCF">
        <w:rPr>
          <w:b/>
          <w:iCs/>
          <w:sz w:val="20"/>
        </w:rPr>
        <w:t>Drug safety, NSAIDs, Osteoarthritis, Drug usage profile</w:t>
      </w:r>
      <w:commentRangeEnd w:id="1"/>
      <w:r w:rsidR="00235C52">
        <w:rPr>
          <w:rStyle w:val="CommentReference"/>
        </w:rPr>
        <w:commentReference w:id="1"/>
      </w:r>
      <w:commentRangeEnd w:id="2"/>
      <w:r w:rsidR="00235C52">
        <w:rPr>
          <w:rStyle w:val="CommentReference"/>
        </w:rPr>
        <w:commentReference w:id="2"/>
      </w:r>
    </w:p>
    <w:p w14:paraId="46E2D48C" w14:textId="77777777" w:rsidR="009A691F" w:rsidRDefault="009A691F" w:rsidP="00D24FD8">
      <w:pPr>
        <w:pStyle w:val="Addresses"/>
        <w:spacing w:line="240" w:lineRule="auto"/>
        <w:rPr>
          <w:i w:val="0"/>
          <w:color w:val="FF0000"/>
        </w:rPr>
      </w:pPr>
    </w:p>
    <w:p w14:paraId="481E6685" w14:textId="77777777" w:rsidR="00706FCF" w:rsidRDefault="00706FCF" w:rsidP="00D24FD8">
      <w:pPr>
        <w:pStyle w:val="Addresses"/>
        <w:spacing w:line="240" w:lineRule="auto"/>
        <w:rPr>
          <w:i w:val="0"/>
          <w:color w:val="FF0000"/>
        </w:rPr>
      </w:pPr>
    </w:p>
    <w:p w14:paraId="5796C2E9" w14:textId="77777777" w:rsidR="00D24FD8" w:rsidRPr="00E64B01" w:rsidRDefault="00D24FD8" w:rsidP="00706FCF">
      <w:pPr>
        <w:pStyle w:val="Addresses"/>
        <w:spacing w:line="240" w:lineRule="auto"/>
        <w:rPr>
          <w:i w:val="0"/>
          <w:color w:val="FF0000"/>
        </w:rPr>
      </w:pPr>
    </w:p>
    <w:p w14:paraId="4DC04D8B" w14:textId="77777777" w:rsidR="00D24FD8" w:rsidRDefault="009A691F" w:rsidP="00D24FD8">
      <w:pPr>
        <w:spacing w:line="240" w:lineRule="auto"/>
      </w:pPr>
      <w:r>
        <w:rPr>
          <w:noProof/>
          <w:lang w:val="en-ID" w:eastAsia="en-ID"/>
        </w:rPr>
        <mc:AlternateContent>
          <mc:Choice Requires="wps">
            <w:drawing>
              <wp:anchor distT="0" distB="0" distL="114300" distR="114300" simplePos="0" relativeHeight="251659264" behindDoc="0" locked="0" layoutInCell="1" allowOverlap="1" wp14:anchorId="6E529006" wp14:editId="706C2E4A">
                <wp:simplePos x="0" y="0"/>
                <wp:positionH relativeFrom="column">
                  <wp:posOffset>-24131</wp:posOffset>
                </wp:positionH>
                <wp:positionV relativeFrom="paragraph">
                  <wp:posOffset>50800</wp:posOffset>
                </wp:positionV>
                <wp:extent cx="6010275" cy="0"/>
                <wp:effectExtent l="0" t="19050" r="9525" b="19050"/>
                <wp:wrapNone/>
                <wp:docPr id="2" name="Straight Connector 2"/>
                <wp:cNvGraphicFramePr/>
                <a:graphic xmlns:a="http://schemas.openxmlformats.org/drawingml/2006/main">
                  <a:graphicData uri="http://schemas.microsoft.com/office/word/2010/wordprocessingShape">
                    <wps:wsp>
                      <wps:cNvCnPr/>
                      <wps:spPr>
                        <a:xfrm>
                          <a:off x="0" y="0"/>
                          <a:ext cx="6010275"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21DD6E7"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pt,4pt" to="471.3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" strokecolor="black [3213]" strokeweight="2.25pt"/>
            </w:pict>
          </mc:Fallback>
        </mc:AlternateContent>
      </w:r>
    </w:p>
    <w:p w14:paraId="656BB2B9" w14:textId="77777777" w:rsidR="00D24FD8" w:rsidRDefault="00D24FD8" w:rsidP="00D24FD8">
      <w:pPr>
        <w:spacing w:line="240" w:lineRule="auto"/>
        <w:rPr>
          <w:b/>
        </w:rPr>
        <w:sectPr w:rsidR="00D24FD8" w:rsidSect="00D24FD8">
          <w:headerReference w:type="default" r:id="rId10"/>
          <w:headerReference w:type="first" r:id="rId11"/>
          <w:footerReference w:type="first" r:id="rId12"/>
          <w:endnotePr>
            <w:numFmt w:val="decimal"/>
          </w:endnotePr>
          <w:pgSz w:w="11907" w:h="16840" w:code="9"/>
          <w:pgMar w:top="1418" w:right="1134" w:bottom="1418" w:left="1418" w:header="851" w:footer="851" w:gutter="0"/>
          <w:cols w:space="567"/>
          <w:noEndnote/>
          <w:docGrid w:linePitch="271"/>
        </w:sectPr>
      </w:pPr>
    </w:p>
    <w:p w14:paraId="6FB44C41" w14:textId="2A0551F2" w:rsidR="00D24FD8" w:rsidRPr="0065515B" w:rsidRDefault="00D24FD8" w:rsidP="00D24FD8">
      <w:pPr>
        <w:spacing w:line="240" w:lineRule="auto"/>
        <w:rPr>
          <w:b/>
        </w:rPr>
      </w:pPr>
      <w:r w:rsidRPr="0065515B">
        <w:rPr>
          <w:b/>
        </w:rPr>
        <w:t>PENDAHULUAN</w:t>
      </w:r>
    </w:p>
    <w:p w14:paraId="2F5337C0" w14:textId="592EBDAA" w:rsidR="00706FCF" w:rsidRPr="00706FCF" w:rsidRDefault="00706FCF" w:rsidP="00706FCF">
      <w:pPr>
        <w:pStyle w:val="Addresses"/>
        <w:spacing w:line="240" w:lineRule="auto"/>
        <w:ind w:firstLine="567"/>
        <w:jc w:val="both"/>
        <w:rPr>
          <w:i w:val="0"/>
          <w:color w:val="000000" w:themeColor="text1"/>
        </w:rPr>
      </w:pPr>
      <w:r w:rsidRPr="00706FCF">
        <w:rPr>
          <w:i w:val="0"/>
          <w:color w:val="000000" w:themeColor="text1"/>
        </w:rPr>
        <w:t xml:space="preserve">Osteoartritis (OA) merupakan penyakit peradangan sendi sinovium yang paling umum ditemui pada populasi lansia dan orang dewasa khususnya wanita, osteoartritis ditandai dengan kerusakan mekanis pada kartilago sendi dan tulang yang menyebabkan </w:t>
      </w:r>
      <w:r w:rsidRPr="00706FCF">
        <w:rPr>
          <w:i w:val="0"/>
          <w:color w:val="000000" w:themeColor="text1"/>
        </w:rPr>
        <w:t>nyeri, kekakuan, dan penurunan fungsi pada sendi terutama pada sendi lutut, pinggul dan tangan. Proses pelunakan dan pemecahan tulang rawan sendi berlangsung secara bertahap dan disertai pertumbuhan tulang serta tulang rawan baru di tepi sendi (osteofit). Pembentukan kista dan penebalan tulang pa</w:t>
      </w:r>
      <w:r w:rsidRPr="00706FCF">
        <w:rPr>
          <w:i w:val="0"/>
          <w:color w:val="000000" w:themeColor="text1"/>
        </w:rPr>
        <w:lastRenderedPageBreak/>
        <w:t xml:space="preserve">da lapisan subkondral juga terjadi, diikuti peradangan ringan pada selaput sendi serta fibrosis pada kapsul sendi </w:t>
      </w:r>
      <w:r>
        <w:rPr>
          <w:i w:val="0"/>
          <w:color w:val="000000" w:themeColor="text1"/>
        </w:rPr>
        <w:fldChar w:fldCharType="begin" w:fldLock="1"/>
      </w:r>
      <w:r>
        <w:rPr>
          <w:i w:val="0"/>
          <w:color w:val="000000" w:themeColor="text1"/>
        </w:rPr>
        <w:instrText>ADDIN CSL_CITATION {"citationItems":[{"id":"ITEM-1","itemData":{"abstract":"Badan Penelitian dan Pengembangan Kesehatan (Badan Litbangkes) merupakan salah satu unit eselon 1 di Kementerian Kesehatan yang mempunyai visi sebagai pengawal kebijakan dan legitimator program pembangunan kesehatan berbasis bukti. Visi tersebut memberikan gambaran bahwa melalui kegiatan penelitian, Badan Litbangkes mempunyai peran juga dalam menata arah kebijakan, program, dan kegiatan pembangunan kesehatan. Salah satu misi Badan Litbangkes adalah menghasilkan rekomendasi untuk pembangunan kesehatan dengan menyusun arah pembangunan kesehatan berdasarkan data yang berkualitas.","author":[{"dropping-particle":"","family":"Hamzah","given":"","non-dropping-particle":"","parse-names":false,"suffix":""}],"container-title":"Lembaga Penerbit Balitbangkes","id":"ITEM-1","issued":{"date-parts":[["2020"]]},"page":"70-75","title":"Laporan Riskesdas 2018 Nasional.pdf","type":"article"},"uris":["http://www.mendeley.com/documents/?uuid=23c2e1e1-c3e9-4168-a3b7-e14da24d9213"]}],"mendeley":{"formattedCitation":"(Hamzah, 2020)","plainTextFormattedCitation":"(Hamzah, 2020)","previouslyFormattedCitation":"(Hamzah, 2020)"},"properties":{"noteIndex":0},"schema":"https://github.com/citation-style-language/schema/raw/master/csl-citation.json"}</w:instrText>
      </w:r>
      <w:r>
        <w:rPr>
          <w:i w:val="0"/>
          <w:color w:val="000000" w:themeColor="text1"/>
        </w:rPr>
        <w:fldChar w:fldCharType="separate"/>
      </w:r>
      <w:r w:rsidRPr="00706FCF">
        <w:rPr>
          <w:i w:val="0"/>
          <w:noProof/>
          <w:color w:val="000000" w:themeColor="text1"/>
        </w:rPr>
        <w:t>(Hamzah, 2020)</w:t>
      </w:r>
      <w:r>
        <w:rPr>
          <w:i w:val="0"/>
          <w:color w:val="000000" w:themeColor="text1"/>
        </w:rPr>
        <w:fldChar w:fldCharType="end"/>
      </w:r>
      <w:r>
        <w:rPr>
          <w:i w:val="0"/>
          <w:color w:val="000000" w:themeColor="text1"/>
        </w:rPr>
        <w:t>.</w:t>
      </w:r>
    </w:p>
    <w:p w14:paraId="72DE4CC6" w14:textId="101ABD61" w:rsidR="00D24FD8" w:rsidRDefault="00706FCF" w:rsidP="00706FCF">
      <w:pPr>
        <w:pStyle w:val="Addresses"/>
        <w:spacing w:line="240" w:lineRule="auto"/>
        <w:ind w:firstLine="567"/>
        <w:jc w:val="both"/>
        <w:rPr>
          <w:i w:val="0"/>
          <w:color w:val="000000" w:themeColor="text1"/>
        </w:rPr>
      </w:pPr>
      <w:r w:rsidRPr="00706FCF">
        <w:rPr>
          <w:i w:val="0"/>
          <w:color w:val="000000" w:themeColor="text1"/>
        </w:rPr>
        <w:t xml:space="preserve">Kasus OA seringkali disebut sebagai penyakit weight-bearing joint (misal pinggul dan lutut). Sebagian besar pembebanan pada sendi sinovial tidak berasal dari massa tubuh, melainkan dari kontraksi otot periartikular yang berperan dalam stabilitas dan pergerakan sendi. Gangguan fungsi otot periartikular berpotensi memengaruhi distribusi beban pada sendi sehingga, kasus OA lebih tepat dianggap sebagai penyakit load-bearing joint </w:t>
      </w:r>
      <w:r>
        <w:rPr>
          <w:i w:val="0"/>
          <w:color w:val="000000" w:themeColor="text1"/>
        </w:rPr>
        <w:fldChar w:fldCharType="begin" w:fldLock="1"/>
      </w:r>
      <w:r w:rsidR="00552FC4">
        <w:rPr>
          <w:i w:val="0"/>
          <w:color w:val="000000" w:themeColor="text1"/>
        </w:rPr>
        <w:instrText>ADDIN CSL_CITATION {"citationItems":[{"id":"ITEM-1","itemData":{"ISBN":"9786027889217","abstract":"Osteoarthritis (OA) merupakan penyakit peradangan sendi yang paling sering ditemukan. Diperkirakan 15% dari seluruh populasi terkena dampak penyakit ini. OA dianggap merupakan suatu kondisi kegagalan organ (sendi sinovium) dibandingkan suatu kondisi penyakit kartilago atau tulang. Saat ini OA merupakan salah satu dari 10 penyakit penyebab disabilitas di negara berkembang. Insiden dan prevalensi OA semakin meningkat seiring dengan bertambahnya usia. Pandangan dan pemahaman yang benar terhadap gejala dan tanda OA sangat penting bagi seorang dokter, untuk menghindari misinterpretasi dari penyakit ini. Kesalahan diagnosis dapat mengakibatkan terapi yang tidak diperlukan atau tidak tepat. Pemberian terapi Non-Steroid AntiInflammation Drugs (NSAID) pada kerusakan mekanis yang terjadi pada OA dapat efektif mengurangi gejala, namun tidak dapat menghentikan proses yang mendasari terjadinya OA tersebut. Sehingga diperlukan terapi multi-modalitas untuk dapat mengatasi masalah terkait OA secara paripurna. Berbagai modalitas terapi saat ini banyak tersedia, termasuk 8 yang tergolong dalam kategori Complementary and Alternative Medicine (CAM). Namun tentunya seorang klinisi harus berpedoman pada Evidence Based Medicine (EBM) dalam memberikan terapi. Dalam hal ini, cara pandang seorang klinisi dalam penatalaksanaan OA, baik pencegahan, diagnostik dan terapi adalah hal yang penting","author":[{"dropping-particle":"","family":"Zaki","given":"Achmad","non-dropping-particle":"","parse-names":false,"suffix":""}],"id":"ITEM-1","issued":{"date-parts":[["2021"]]},"number-of-pages":"1-70","title":"Buku Saku Ostearthritis Lutut","type":"book"},"uris":["http://www.mendeley.com/documents/?uuid=e980e0d9-de78-41b5-aed2-6ac4529179af"]}],"mendeley":{"formattedCitation":"(Zaki, 2021)","plainTextFormattedCitation":"(Zaki, 2021)","previouslyFormattedCitation":"(Zaki, 2021)"},"properties":{"noteIndex":0},"schema":"https://github.com/citation-style-language/schema/raw/master/csl-citation.json"}</w:instrText>
      </w:r>
      <w:r>
        <w:rPr>
          <w:i w:val="0"/>
          <w:color w:val="000000" w:themeColor="text1"/>
        </w:rPr>
        <w:fldChar w:fldCharType="separate"/>
      </w:r>
      <w:r w:rsidRPr="00706FCF">
        <w:rPr>
          <w:i w:val="0"/>
          <w:noProof/>
          <w:color w:val="000000" w:themeColor="text1"/>
        </w:rPr>
        <w:t>(Zaki, 2021)</w:t>
      </w:r>
      <w:r>
        <w:rPr>
          <w:i w:val="0"/>
          <w:color w:val="000000" w:themeColor="text1"/>
        </w:rPr>
        <w:fldChar w:fldCharType="end"/>
      </w:r>
      <w:r>
        <w:rPr>
          <w:i w:val="0"/>
          <w:color w:val="000000" w:themeColor="text1"/>
        </w:rPr>
        <w:t>.</w:t>
      </w:r>
    </w:p>
    <w:p w14:paraId="6B123045" w14:textId="2800AFC1" w:rsidR="00706FCF" w:rsidRDefault="00552FC4" w:rsidP="00706FCF">
      <w:pPr>
        <w:pStyle w:val="Addresses"/>
        <w:spacing w:line="240" w:lineRule="auto"/>
        <w:ind w:firstLine="567"/>
        <w:jc w:val="both"/>
        <w:rPr>
          <w:i w:val="0"/>
          <w:color w:val="000000" w:themeColor="text1"/>
        </w:rPr>
      </w:pPr>
      <w:r w:rsidRPr="00552FC4">
        <w:rPr>
          <w:i w:val="0"/>
          <w:color w:val="000000" w:themeColor="text1"/>
        </w:rPr>
        <w:t>Patofisiologi OA melibatkan interaksi kompleks antara faktor mekanis, biokimia, dan inflamasi. Degradasi kartilago dimulai dengan hilangnya proteoglikan dan kolagen tipe II, yang mengakibatkan penurunan elastisitas dan peningkatan friksi pada permukaan sendi. Respons kompensatorik meliputi proliferasi kondrosit yang tidak normal, produksi matriks ekstraseluler yang cacat, dan aktivasi mediator inflamasi seperti interleukin-1 (IL-1) dan tumor necrosis factor-alpha (TNF-α). Pada tahap lanjut, terdapat perubahan bentuk tulang subkondral dengan sklerosis dan pembentukan kista geode, serta angiogenesis pada sinovium yang menyebabkan sinovitis kronis</w:t>
      </w:r>
      <w:r>
        <w:rPr>
          <w:i w:val="0"/>
          <w:color w:val="000000" w:themeColor="text1"/>
        </w:rPr>
        <w:t xml:space="preserve"> </w:t>
      </w:r>
      <w:r>
        <w:rPr>
          <w:i w:val="0"/>
          <w:color w:val="000000" w:themeColor="text1"/>
        </w:rPr>
        <w:fldChar w:fldCharType="begin" w:fldLock="1"/>
      </w:r>
      <w:r>
        <w:rPr>
          <w:i w:val="0"/>
          <w:color w:val="000000" w:themeColor="text1"/>
        </w:rPr>
        <w:instrText>ADDIN CSL_CITATION {"citationItems":[{"id":"ITEM-1","itemData":{"DOI":"10.1016/j.joca.2003.10.002","ISSN":"10634584","PMID":"14698638","abstract":"In summary OA is characterized by cartilage degeneration. The breakdown of major macromolecules, such as collagen and proteoglycan, are triggered by enzymatic activity in which MMPs play a dominant role. In this disease, it is now acknowledged that the synovial membrane is also involved. At the clinical stage of the disease, the morphological changes observed in OA include a variable degree of synovial inflammation, which in turn produces inflammatory mediators including IL-1β and TNF-α, which play a pivotal role in mediating the pathophysiological mechanisms. In the last 20 years or so, significant progress has been made in understanding the mechanisms involved in the pathogenesis of this disease. In addition to the factors mentioned, there is increasing evidence to suggest that alterations in O A also involve the subchondral bone, a situation that may result from abnormal subchondral osteoblast behavior20. © 2003 OsteoArthritis Research Society International. Published by Elsevier Ltd. All rights reserved.","author":[{"dropping-particle":"","family":"Martel-Pelletier","given":"Johanne","non-dropping-particle":"","parse-names":false,"suffix":""}],"container-title":"Osteoarthritis and Cartilage","id":"ITEM-1","issue":"SUPLL.","issued":{"date-parts":[["2004"]]},"page":"31-33","title":"Pathophysiology of osteoarthritis","type":"article-journal","volume":"12"},"uris":["http://www.mendeley.com/documents/?uuid=90c29076-6e9d-4e15-b56f-c2fca939d7a0"]}],"mendeley":{"formattedCitation":"(Martel-Pelletier, 2004)","manualFormatting":"(Martel, 2004)","plainTextFormattedCitation":"(Martel-Pelletier, 2004)","previouslyFormattedCitation":"(Martel-Pelletier, 2004)"},"properties":{"noteIndex":0},"schema":"https://github.com/citation-style-language/schema/raw/master/csl-citation.json"}</w:instrText>
      </w:r>
      <w:r>
        <w:rPr>
          <w:i w:val="0"/>
          <w:color w:val="000000" w:themeColor="text1"/>
        </w:rPr>
        <w:fldChar w:fldCharType="separate"/>
      </w:r>
      <w:r w:rsidRPr="00552FC4">
        <w:rPr>
          <w:i w:val="0"/>
          <w:noProof/>
          <w:color w:val="000000" w:themeColor="text1"/>
        </w:rPr>
        <w:t>(Martel, 2004)</w:t>
      </w:r>
      <w:r>
        <w:rPr>
          <w:i w:val="0"/>
          <w:color w:val="000000" w:themeColor="text1"/>
        </w:rPr>
        <w:fldChar w:fldCharType="end"/>
      </w:r>
      <w:r>
        <w:rPr>
          <w:i w:val="0"/>
          <w:color w:val="000000" w:themeColor="text1"/>
        </w:rPr>
        <w:t>.</w:t>
      </w:r>
    </w:p>
    <w:p w14:paraId="11B0DB6E" w14:textId="1A8FDB82" w:rsidR="00552FC4" w:rsidRDefault="00552FC4" w:rsidP="00706FCF">
      <w:pPr>
        <w:pStyle w:val="Addresses"/>
        <w:spacing w:line="240" w:lineRule="auto"/>
        <w:ind w:firstLine="567"/>
        <w:jc w:val="both"/>
        <w:rPr>
          <w:i w:val="0"/>
          <w:color w:val="000000" w:themeColor="text1"/>
        </w:rPr>
      </w:pPr>
      <w:r w:rsidRPr="00552FC4">
        <w:rPr>
          <w:i w:val="0"/>
          <w:color w:val="000000" w:themeColor="text1"/>
        </w:rPr>
        <w:t xml:space="preserve">Data Epidemiologi pada kasus Osteoartritis </w:t>
      </w:r>
      <w:commentRangeStart w:id="3"/>
      <w:r w:rsidRPr="00552FC4">
        <w:rPr>
          <w:i w:val="0"/>
          <w:color w:val="000000" w:themeColor="text1"/>
        </w:rPr>
        <w:t>di tahun 2021</w:t>
      </w:r>
      <w:commentRangeEnd w:id="3"/>
      <w:r w:rsidR="00235C52">
        <w:rPr>
          <w:rStyle w:val="CommentReference"/>
          <w:i w:val="0"/>
          <w:kern w:val="2"/>
        </w:rPr>
        <w:commentReference w:id="3"/>
      </w:r>
      <w:r w:rsidRPr="00552FC4">
        <w:rPr>
          <w:i w:val="0"/>
          <w:color w:val="000000" w:themeColor="text1"/>
        </w:rPr>
        <w:t>, menunjukan sekitar 607 juta orang di seluruh dunia, atau sekitar 7.7% dari populasi dunia (Da Costa et al., 2021). Prevalensi OA di Indonesia masih cukup tinggi yaitu pada usia diatas 65 tahun sebesar 18,6</w:t>
      </w:r>
      <w:proofErr w:type="gramStart"/>
      <w:r w:rsidRPr="00552FC4">
        <w:rPr>
          <w:i w:val="0"/>
          <w:color w:val="000000" w:themeColor="text1"/>
        </w:rPr>
        <w:t>%  dan</w:t>
      </w:r>
      <w:proofErr w:type="gramEnd"/>
      <w:r w:rsidRPr="00552FC4">
        <w:rPr>
          <w:i w:val="0"/>
          <w:color w:val="000000" w:themeColor="text1"/>
        </w:rPr>
        <w:t xml:space="preserve"> usia diatas 75 tahun sebesar 18,9%. Angka kejadian osteoartritis di Indonesia banyak terjadi pada jenis kelamin perempuan yaitu 8,4% dan laki-laki yaitu 6,1%. Di Provinsi Jawa Tengah prevalensi osteoartritis (OA) mencapai sekitar 6,78% berdas</w:t>
      </w:r>
      <w:r w:rsidRPr="00552FC4">
        <w:rPr>
          <w:rFonts w:hint="eastAsia"/>
          <w:i w:val="0"/>
          <w:color w:val="000000" w:themeColor="text1"/>
        </w:rPr>
        <w:t xml:space="preserve">arkan penelitian yang melibatkan 67.977 orang, terdiri dari 33.330 laki-laki yaitu 5,69% dan 36.4777 perempuan menunjukan pravelensi 7,83% berdasarkan diagnosis dokter pada penduduk usia </w:t>
      </w:r>
      <w:r w:rsidRPr="00552FC4">
        <w:rPr>
          <w:rFonts w:hint="eastAsia"/>
          <w:i w:val="0"/>
          <w:color w:val="000000" w:themeColor="text1"/>
        </w:rPr>
        <w:t>≥</w:t>
      </w:r>
      <w:r w:rsidRPr="00552FC4">
        <w:rPr>
          <w:rFonts w:hint="eastAsia"/>
          <w:i w:val="0"/>
          <w:color w:val="000000" w:themeColor="text1"/>
        </w:rPr>
        <w:t xml:space="preserve"> 15 tahun</w:t>
      </w:r>
      <w:r>
        <w:rPr>
          <w:i w:val="0"/>
          <w:color w:val="000000" w:themeColor="text1"/>
        </w:rPr>
        <w:t xml:space="preserve"> </w:t>
      </w:r>
      <w:r>
        <w:rPr>
          <w:i w:val="0"/>
          <w:color w:val="000000" w:themeColor="text1"/>
        </w:rPr>
        <w:fldChar w:fldCharType="begin" w:fldLock="1"/>
      </w:r>
      <w:r>
        <w:rPr>
          <w:i w:val="0"/>
          <w:color w:val="000000" w:themeColor="text1"/>
        </w:rPr>
        <w:instrText>ADDIN CSL_CITATION {"citationItems":[{"id":"ITEM-1","itemData":{"abstract":"Badan Penelitian dan Pengembangan Kesehatan (Badan Litbangkes) merupakan salah satu unit eselon 1 di Kementerian Kesehatan yang mempunyai visi sebagai pengawal kebijakan dan legitimator program pembangunan kesehatan berbasis bukti. Visi tersebut memberikan gambaran bahwa melalui kegiatan penelitian, Badan Litbangkes mempunyai peran juga dalam menata arah kebijakan, program, dan kegiatan pembangunan kesehatan. Salah satu misi Badan Litbangkes adalah menghasilkan rekomendasi untuk pembangunan kesehatan dengan menyusun arah pembangunan kesehatan berdasarkan data yang berkualitas.","author":[{"dropping-particle":"","family":"Hamzah","given":"","non-dropping-particle":"","parse-names":false,"suffix":""}],"container-title":"Lembaga Penerbit Balitbangkes","id":"ITEM-1","issued":{"date-parts":[["2020"]]},"page":"70-75","title":"Laporan Riskesdas 2018 Nasional.pdf","type":"article"},"uris":["http://www.mendeley.com/documents/?uuid=23c2e1e1-c3e9-4168-a3b7-e14da24d9213"]}],"mendeley":{"formattedCitation":"(Hamzah, 2020)","manualFormatting":"(Riskesdas, 2020)","plainTextFormattedCitation":"(Hamzah, 2020)","previouslyFormattedCitation":"(Hamzah, 2020)"},"properties":{"noteIndex":0},"schema":"https://github.com/citation-style-language/schema/raw/master/csl-citation.json"}</w:instrText>
      </w:r>
      <w:r>
        <w:rPr>
          <w:i w:val="0"/>
          <w:color w:val="000000" w:themeColor="text1"/>
        </w:rPr>
        <w:fldChar w:fldCharType="separate"/>
      </w:r>
      <w:r>
        <w:rPr>
          <w:i w:val="0"/>
          <w:noProof/>
          <w:color w:val="000000" w:themeColor="text1"/>
        </w:rPr>
        <w:t>(Riskesdas</w:t>
      </w:r>
      <w:r w:rsidRPr="00552FC4">
        <w:rPr>
          <w:i w:val="0"/>
          <w:noProof/>
          <w:color w:val="000000" w:themeColor="text1"/>
        </w:rPr>
        <w:t>, 2020)</w:t>
      </w:r>
      <w:r>
        <w:rPr>
          <w:i w:val="0"/>
          <w:color w:val="000000" w:themeColor="text1"/>
        </w:rPr>
        <w:fldChar w:fldCharType="end"/>
      </w:r>
      <w:r>
        <w:rPr>
          <w:i w:val="0"/>
          <w:color w:val="000000" w:themeColor="text1"/>
        </w:rPr>
        <w:t xml:space="preserve">. </w:t>
      </w:r>
      <w:r w:rsidRPr="00552FC4">
        <w:rPr>
          <w:rFonts w:hint="eastAsia"/>
          <w:i w:val="0"/>
          <w:color w:val="000000" w:themeColor="text1"/>
        </w:rPr>
        <w:t>Di Kabupaten Kudus, osteoartritis menja</w:t>
      </w:r>
      <w:r w:rsidRPr="00552FC4">
        <w:rPr>
          <w:i w:val="0"/>
          <w:color w:val="000000" w:themeColor="text1"/>
        </w:rPr>
        <w:t>di salah satu penyakit degeneratif yang sering ditemukan. Berdasarkan data awal yang di</w:t>
      </w:r>
      <w:r w:rsidRPr="00552FC4">
        <w:rPr>
          <w:i w:val="0"/>
          <w:color w:val="000000" w:themeColor="text1"/>
        </w:rPr>
        <w:t>peroleh dari Instalasi Rekam Medis RS X Kudus pada tahun 2025, tercatat sebanyak 4.149 pasien osteoartritis yang menjalani pengobatan secara rawat jalan maupun rawat inap.</w:t>
      </w:r>
      <w:r>
        <w:rPr>
          <w:i w:val="0"/>
          <w:color w:val="000000" w:themeColor="text1"/>
        </w:rPr>
        <w:t xml:space="preserve"> </w:t>
      </w:r>
    </w:p>
    <w:p w14:paraId="35859FAF" w14:textId="47B6D014" w:rsidR="00552FC4" w:rsidRDefault="00552FC4" w:rsidP="00706FCF">
      <w:pPr>
        <w:pStyle w:val="Addresses"/>
        <w:spacing w:line="240" w:lineRule="auto"/>
        <w:ind w:firstLine="567"/>
        <w:jc w:val="both"/>
        <w:rPr>
          <w:i w:val="0"/>
          <w:color w:val="000000" w:themeColor="text1"/>
        </w:rPr>
      </w:pPr>
      <w:commentRangeStart w:id="4"/>
      <w:r w:rsidRPr="00552FC4">
        <w:rPr>
          <w:i w:val="0"/>
          <w:color w:val="000000" w:themeColor="text1"/>
        </w:rPr>
        <w:t xml:space="preserve">Penatalaksanaan Osteoartritis dibagi menjadi 2 yaitu secara farmakologi dan non farmakologi. Terapi OA secara non farmakologi dapat dilakukan dengan olahraga, latihan kekuatan otot tubuh dan penurunan berat badan. Program penurunan badan sangat penting agar dapat mengurangi beban pada tulang saat menopang tubuh, hal itu juga dapat berpengaruh dalam mengurangi rasa sakit atau nyeri pada sendi. Penurunan berat badan bisa dicapai dengan menjaga pola makan yang teratur dan memilih makanan yang sehat dalam porsi yang tidak berlebihan </w:t>
      </w:r>
      <w:r>
        <w:rPr>
          <w:i w:val="0"/>
          <w:color w:val="000000" w:themeColor="text1"/>
        </w:rPr>
        <w:fldChar w:fldCharType="begin" w:fldLock="1"/>
      </w:r>
      <w:r>
        <w:rPr>
          <w:i w:val="0"/>
          <w:color w:val="000000" w:themeColor="text1"/>
        </w:rPr>
        <w:instrText>ADDIN CSL_CITATION {"citationItems":[{"id":"ITEM-1","itemData":{"abstract":"Badan Penelitian dan Pengembangan Kesehatan (Badan Litbangkes) merupakan salah satu unit eselon 1 di Kementerian Kesehatan yang mempunyai visi sebagai pengawal kebijakan dan legitimator program pembangunan kesehatan berbasis bukti. Visi tersebut memberikan gambaran bahwa melalui kegiatan penelitian, Badan Litbangkes mempunyai peran juga dalam menata arah kebijakan, program, dan kegiatan pembangunan kesehatan. Salah satu misi Badan Litbangkes adalah menghasilkan rekomendasi untuk pembangunan kesehatan dengan menyusun arah pembangunan kesehatan berdasarkan data yang berkualitas.","author":[{"dropping-particle":"","family":"Hamzah","given":"","non-dropping-particle":"","parse-names":false,"suffix":""}],"container-title":"Lembaga Penerbit Balitbangkes","id":"ITEM-1","issued":{"date-parts":[["2020"]]},"page":"70-75","title":"Laporan Riskesdas 2018 Nasional.pdf","type":"article"},"uris":["http://www.mendeley.com/documents/?uuid=23c2e1e1-c3e9-4168-a3b7-e14da24d9213"]}],"mendeley":{"formattedCitation":"(Hamzah, 2020)","plainTextFormattedCitation":"(Hamzah, 2020)","previouslyFormattedCitation":"(Hamzah, 2020)"},"properties":{"noteIndex":0},"schema":"https://github.com/citation-style-language/schema/raw/master/csl-citation.json"}</w:instrText>
      </w:r>
      <w:r>
        <w:rPr>
          <w:i w:val="0"/>
          <w:color w:val="000000" w:themeColor="text1"/>
        </w:rPr>
        <w:fldChar w:fldCharType="separate"/>
      </w:r>
      <w:r w:rsidRPr="00552FC4">
        <w:rPr>
          <w:i w:val="0"/>
          <w:noProof/>
          <w:color w:val="000000" w:themeColor="text1"/>
        </w:rPr>
        <w:t>(Hamzah, 2020)</w:t>
      </w:r>
      <w:r>
        <w:rPr>
          <w:i w:val="0"/>
          <w:color w:val="000000" w:themeColor="text1"/>
        </w:rPr>
        <w:fldChar w:fldCharType="end"/>
      </w:r>
      <w:r>
        <w:rPr>
          <w:i w:val="0"/>
          <w:color w:val="000000" w:themeColor="text1"/>
        </w:rPr>
        <w:t xml:space="preserve">. </w:t>
      </w:r>
      <w:commentRangeEnd w:id="4"/>
      <w:r w:rsidR="00235C52">
        <w:rPr>
          <w:rStyle w:val="CommentReference"/>
          <w:i w:val="0"/>
          <w:kern w:val="2"/>
        </w:rPr>
        <w:commentReference w:id="4"/>
      </w:r>
    </w:p>
    <w:p w14:paraId="71A4AC9B" w14:textId="1BFCA246" w:rsidR="00552FC4" w:rsidRDefault="00552FC4" w:rsidP="00552FC4">
      <w:pPr>
        <w:pStyle w:val="Addresses"/>
        <w:spacing w:line="240" w:lineRule="auto"/>
        <w:ind w:firstLine="567"/>
        <w:jc w:val="both"/>
        <w:rPr>
          <w:i w:val="0"/>
          <w:color w:val="000000" w:themeColor="text1"/>
        </w:rPr>
      </w:pPr>
      <w:r w:rsidRPr="00552FC4">
        <w:rPr>
          <w:i w:val="0"/>
          <w:color w:val="000000" w:themeColor="text1"/>
        </w:rPr>
        <w:t xml:space="preserve">Penatalaksanaan secara farmakologis dilakukan dengan penggunaan obat antiinflamasi nonsteroid (OAINS) sebagai pilihan utama dalam pengobatan osteoartritis. Menurut </w:t>
      </w:r>
      <w:commentRangeStart w:id="5"/>
      <w:r>
        <w:rPr>
          <w:i w:val="0"/>
          <w:color w:val="000000" w:themeColor="text1"/>
        </w:rPr>
        <w:fldChar w:fldCharType="begin" w:fldLock="1"/>
      </w:r>
      <w:r>
        <w:rPr>
          <w:i w:val="0"/>
          <w:color w:val="000000" w:themeColor="text1"/>
        </w:rPr>
        <w:instrText>ADDIN CSL_CITATION {"citationItems":[{"id":"ITEM-1","itemData":{"author":[{"dropping-particle":"","family":"Rosnarita","given":"Intan Adevia","non-dropping-particle":"","parse-names":false,"suffix":""},{"dropping-particle":"","family":"Khudzaifi","given":"Muhammad","non-dropping-particle":"","parse-names":false,"suffix":""},{"dropping-particle":"","family":"Priswa","given":"Nindya","non-dropping-particle":"","parse-names":false,"suffix":""}],"id":"ITEM-1","issue":"1","issued":{"date-parts":[["2025"]]},"page":"30-36","title":"Evaluasi Keamanan Pengobatan NSAID Oral terhadap Tekanan Darah pada Pasien Osteoartritis : Studi Preventif terhadap","type":"article-journal","volume":"20"},"uris":["http://www.mendeley.com/documents/?uuid=9532063b-f256-4a23-9c1a-15964639b95a"]}],"mendeley":{"formattedCitation":"(Rosnarita et al., 2025)","manualFormatting":"Rosnarita et al., (2025)","plainTextFormattedCitation":"(Rosnarita et al., 2025)","previouslyFormattedCitation":"(Rosnarita et al., 2025)"},"properties":{"noteIndex":0},"schema":"https://github.com/citation-style-language/schema/raw/master/csl-citation.json"}</w:instrText>
      </w:r>
      <w:r>
        <w:rPr>
          <w:i w:val="0"/>
          <w:color w:val="000000" w:themeColor="text1"/>
        </w:rPr>
        <w:fldChar w:fldCharType="separate"/>
      </w:r>
      <w:r w:rsidRPr="00552FC4">
        <w:rPr>
          <w:i w:val="0"/>
          <w:noProof/>
          <w:color w:val="000000" w:themeColor="text1"/>
        </w:rPr>
        <w:t xml:space="preserve">Rosnarita </w:t>
      </w:r>
      <w:r w:rsidRPr="00552FC4">
        <w:rPr>
          <w:iCs/>
          <w:noProof/>
          <w:color w:val="000000" w:themeColor="text1"/>
        </w:rPr>
        <w:t>et al.,</w:t>
      </w:r>
      <w:r w:rsidRPr="00552FC4">
        <w:rPr>
          <w:i w:val="0"/>
          <w:noProof/>
          <w:color w:val="000000" w:themeColor="text1"/>
        </w:rPr>
        <w:t xml:space="preserve"> </w:t>
      </w:r>
      <w:r>
        <w:rPr>
          <w:i w:val="0"/>
          <w:noProof/>
          <w:color w:val="000000" w:themeColor="text1"/>
        </w:rPr>
        <w:t>(</w:t>
      </w:r>
      <w:r w:rsidRPr="00552FC4">
        <w:rPr>
          <w:i w:val="0"/>
          <w:noProof/>
          <w:color w:val="000000" w:themeColor="text1"/>
        </w:rPr>
        <w:t>2025)</w:t>
      </w:r>
      <w:r>
        <w:rPr>
          <w:i w:val="0"/>
          <w:color w:val="000000" w:themeColor="text1"/>
        </w:rPr>
        <w:fldChar w:fldCharType="end"/>
      </w:r>
      <w:r>
        <w:rPr>
          <w:i w:val="0"/>
          <w:color w:val="000000" w:themeColor="text1"/>
        </w:rPr>
        <w:t xml:space="preserve"> </w:t>
      </w:r>
      <w:commentRangeEnd w:id="5"/>
      <w:r w:rsidR="00235C52">
        <w:rPr>
          <w:rStyle w:val="CommentReference"/>
          <w:i w:val="0"/>
          <w:kern w:val="2"/>
        </w:rPr>
        <w:commentReference w:id="5"/>
      </w:r>
      <w:r w:rsidRPr="00552FC4">
        <w:rPr>
          <w:i w:val="0"/>
          <w:color w:val="000000" w:themeColor="text1"/>
        </w:rPr>
        <w:t xml:space="preserve">OAINS sebagai antiinflamasi yang efektif dalam mengurangi peradangan dan nyeri sendi. </w:t>
      </w:r>
      <w:proofErr w:type="gramStart"/>
      <w:r w:rsidRPr="00552FC4">
        <w:rPr>
          <w:i w:val="0"/>
          <w:color w:val="000000" w:themeColor="text1"/>
        </w:rPr>
        <w:t>OAINS  merupakan</w:t>
      </w:r>
      <w:proofErr w:type="gramEnd"/>
      <w:r w:rsidRPr="00552FC4">
        <w:rPr>
          <w:i w:val="0"/>
          <w:color w:val="000000" w:themeColor="text1"/>
        </w:rPr>
        <w:t xml:space="preserve"> salah satu intervensi utama dalam mengelola gejala osteoartritis, karena kemampuannya meredakan nyeri dan mengurangi peradangan. Penelitian yang dilakukan </w:t>
      </w:r>
      <w:commentRangeStart w:id="6"/>
      <w:r w:rsidRPr="00552FC4">
        <w:rPr>
          <w:i w:val="0"/>
          <w:color w:val="000000" w:themeColor="text1"/>
        </w:rPr>
        <w:t xml:space="preserve">oleh </w:t>
      </w:r>
      <w:r>
        <w:rPr>
          <w:i w:val="0"/>
          <w:color w:val="000000" w:themeColor="text1"/>
        </w:rPr>
        <w:fldChar w:fldCharType="begin" w:fldLock="1"/>
      </w:r>
      <w:r w:rsidR="002C1AFD">
        <w:rPr>
          <w:i w:val="0"/>
          <w:color w:val="000000" w:themeColor="text1"/>
        </w:rPr>
        <w:instrText>ADDIN CSL_CITATION {"citationItems":[{"id":"ITEM-1","itemData":{"ISSN":"2656-9612","author":[{"dropping-particle":"","family":"Radiah","given":"Nur","non-dropping-particle":"","parse-names":false,"suffix":""},{"dropping-particle":"","family":"Arista Pratama","given":"Isra","non-dropping-particle":"","parse-names":false,"suffix":""},{"dropping-particle":"","family":"Pahmi","given":"Khairil","non-dropping-particle":"","parse-names":false,"suffix":""},{"dropping-particle":"","family":"Korespondensi","given":"Penulis","non-dropping-particle":"","parse-names":false,"suffix":""}],"container-title":"Journal Syifa Sciences and Clinical Research (JSSCR)","id":"ITEM-1","issue":"3","issued":{"date-parts":[["2023"]]},"page":"423-428","title":"Jalan Merdeka Raya Karang Pule Telp. (0370) 6161208 Mataram, Indonesia 3 Program Studi Pendidikan Dokter, Fakultas Kedokteran","type":"article-journal","volume":"5"},"uris":["http://www.mendeley.com/documents/?uuid=8c4402d7-972b-4b63-b083-df0de3a33097"]}],"mendeley":{"formattedCitation":"(Radiah et al., 2023)","plainTextFormattedCitation":"(Radiah et al., 2023)","previouslyFormattedCitation":"(Radiah et al., 2023)"},"properties":{"noteIndex":0},"schema":"https://github.com/citation-style-language/schema/raw/master/csl-citation.json"}</w:instrText>
      </w:r>
      <w:r>
        <w:rPr>
          <w:i w:val="0"/>
          <w:color w:val="000000" w:themeColor="text1"/>
        </w:rPr>
        <w:fldChar w:fldCharType="separate"/>
      </w:r>
      <w:r w:rsidRPr="00552FC4">
        <w:rPr>
          <w:i w:val="0"/>
          <w:noProof/>
          <w:color w:val="000000" w:themeColor="text1"/>
        </w:rPr>
        <w:t xml:space="preserve">(Radiah </w:t>
      </w:r>
      <w:r w:rsidRPr="00552FC4">
        <w:rPr>
          <w:iCs/>
          <w:noProof/>
          <w:color w:val="000000" w:themeColor="text1"/>
        </w:rPr>
        <w:t>et al.</w:t>
      </w:r>
      <w:r w:rsidRPr="00552FC4">
        <w:rPr>
          <w:i w:val="0"/>
          <w:noProof/>
          <w:color w:val="000000" w:themeColor="text1"/>
        </w:rPr>
        <w:t>, 2023)</w:t>
      </w:r>
      <w:r>
        <w:rPr>
          <w:i w:val="0"/>
          <w:color w:val="000000" w:themeColor="text1"/>
        </w:rPr>
        <w:fldChar w:fldCharType="end"/>
      </w:r>
      <w:commentRangeEnd w:id="6"/>
      <w:r w:rsidR="00235C52">
        <w:rPr>
          <w:rStyle w:val="CommentReference"/>
          <w:i w:val="0"/>
          <w:kern w:val="2"/>
        </w:rPr>
        <w:commentReference w:id="6"/>
      </w:r>
      <w:r>
        <w:rPr>
          <w:i w:val="0"/>
          <w:color w:val="000000" w:themeColor="text1"/>
        </w:rPr>
        <w:t xml:space="preserve"> </w:t>
      </w:r>
      <w:r w:rsidRPr="00552FC4">
        <w:rPr>
          <w:i w:val="0"/>
          <w:color w:val="000000" w:themeColor="text1"/>
        </w:rPr>
        <w:t xml:space="preserve">menunjukan bahwa </w:t>
      </w:r>
      <w:r>
        <w:rPr>
          <w:i w:val="0"/>
          <w:color w:val="000000" w:themeColor="text1"/>
        </w:rPr>
        <w:t>m</w:t>
      </w:r>
      <w:r w:rsidRPr="00552FC4">
        <w:rPr>
          <w:i w:val="0"/>
          <w:color w:val="000000" w:themeColor="text1"/>
        </w:rPr>
        <w:t xml:space="preserve">eloxicam adalah OAINS yang paling sering diresepkan untuk pasien OA lanjut usia dan termasuk pilihan utama yang sesuai dengan pedoman </w:t>
      </w:r>
      <w:commentRangeStart w:id="7"/>
      <w:r w:rsidRPr="00552FC4">
        <w:rPr>
          <w:i w:val="0"/>
          <w:color w:val="000000" w:themeColor="text1"/>
        </w:rPr>
        <w:t>American College of Rheumatology</w:t>
      </w:r>
      <w:commentRangeEnd w:id="7"/>
      <w:r w:rsidR="0087387F">
        <w:rPr>
          <w:rStyle w:val="CommentReference"/>
          <w:i w:val="0"/>
          <w:kern w:val="2"/>
        </w:rPr>
        <w:commentReference w:id="7"/>
      </w:r>
      <w:r w:rsidRPr="00552FC4">
        <w:rPr>
          <w:i w:val="0"/>
          <w:color w:val="000000" w:themeColor="text1"/>
        </w:rPr>
        <w:t xml:space="preserve"> (ACR).</w:t>
      </w:r>
    </w:p>
    <w:p w14:paraId="4FB89D8D" w14:textId="70F3E2FC" w:rsidR="002C1AFD" w:rsidRPr="002C1AFD" w:rsidRDefault="002C1AFD" w:rsidP="002C1AFD">
      <w:pPr>
        <w:pStyle w:val="Addresses"/>
        <w:spacing w:line="240" w:lineRule="auto"/>
        <w:ind w:firstLine="567"/>
        <w:jc w:val="both"/>
        <w:rPr>
          <w:i w:val="0"/>
          <w:color w:val="000000" w:themeColor="text1"/>
        </w:rPr>
      </w:pPr>
      <w:r w:rsidRPr="002C1AFD">
        <w:rPr>
          <w:i w:val="0"/>
          <w:color w:val="000000" w:themeColor="text1"/>
        </w:rPr>
        <w:t xml:space="preserve">Mekanisme kerja OAINS </w:t>
      </w:r>
      <w:r>
        <w:rPr>
          <w:i w:val="0"/>
          <w:color w:val="000000" w:themeColor="text1"/>
        </w:rPr>
        <w:t>untuk pengobatan</w:t>
      </w:r>
      <w:r w:rsidRPr="002C1AFD">
        <w:rPr>
          <w:i w:val="0"/>
          <w:color w:val="000000" w:themeColor="text1"/>
        </w:rPr>
        <w:t xml:space="preserve"> </w:t>
      </w:r>
      <w:r>
        <w:rPr>
          <w:i w:val="0"/>
          <w:color w:val="000000" w:themeColor="text1"/>
        </w:rPr>
        <w:t xml:space="preserve">OA yaitu </w:t>
      </w:r>
      <w:r w:rsidRPr="002C1AFD">
        <w:rPr>
          <w:i w:val="0"/>
          <w:color w:val="000000" w:themeColor="text1"/>
        </w:rPr>
        <w:t xml:space="preserve">dengan menghambat enzim </w:t>
      </w:r>
      <w:r w:rsidRPr="002C1AFD">
        <w:rPr>
          <w:iCs/>
          <w:color w:val="000000" w:themeColor="text1"/>
        </w:rPr>
        <w:t>siklooksigenase</w:t>
      </w:r>
      <w:r w:rsidRPr="002C1AFD">
        <w:rPr>
          <w:i w:val="0"/>
          <w:color w:val="000000" w:themeColor="text1"/>
        </w:rPr>
        <w:t xml:space="preserve"> (COX), yang berperan dalam produksi prostaglandin yang menyebabkan peradangan dan nyeri pada sendi yang terkena OA. Dengan penghambatan COX, OAINS menekan jalur inflamasi sehingga mengurangi rasa nyeri dan pembengkakan pada sendi </w:t>
      </w:r>
      <w:commentRangeStart w:id="8"/>
      <w:r>
        <w:rPr>
          <w:i w:val="0"/>
          <w:color w:val="000000" w:themeColor="text1"/>
        </w:rPr>
        <w:fldChar w:fldCharType="begin" w:fldLock="1"/>
      </w:r>
      <w:r w:rsidR="00C05058">
        <w:rPr>
          <w:i w:val="0"/>
          <w:color w:val="000000" w:themeColor="text1"/>
        </w:rPr>
        <w:instrText>ADDIN CSL_CITATION {"citationItems":[{"id":"ITEM-1","itemData":{"ISSN":"2442-6032","abstract":"Nyeri didefinisikan sebagai perasaan tidak menyenangkan bagi sebagian orang akibat dari kerusakan jaringan, sehingga pasien melakukan pengobatan dan kebanyakan masih berpusat pada terapi farmakologis seperti penggunaan Obat Anti Inflamasi Non Steroid (OAINS). Adanya efek samping yang bisa terjadi maka perlu ditunjang dengan penggunaan yang rasional khususnya pada fasilitas kesehatan. penelitian ini bertujuan untuk mengetahui gambaran rasionalitas penggunaan OAINS di Puskesmas Poli-Polia Kabupaten Kolaka Timur. Jenis penelitian ini merupakan penelitian non eksperimental dengan desain deskriptif retrospektif. Sampel diambil dengan cara total sampling dari populasi yang memenuhi kriteria inklusi yaitu OAINS tunggal maupun kombinasi yang digunakan pasien periode Januari – Maret 2020 dan memiliki data rekam medik lengkap. Jumlah sampel yang diperoleh yaitu sebesar 72 pasien dan datanya dikumpulkan dalam lembar pengumpul data yang memuat identitas pasien, nama obat, dosis, dan aturan pakai. Analisis rasionalitas penggunaan OAINS dinilai dari aspek ketepatan pemilihan obat, ketapatan jumlah, dan ketepatan dosis dan frekuensi yang disajikan secara deskriptif. Hasil penelitian menunjukkan bahwa rasionalitas penggunaan OAINS di Puskesmas Poli-Polia Kabupaten Kolaka Timur tidak seluruhnya tepat. Pada aspek tepat pemilihan obat diperoleh sebesar 86%, tepat dosis dan frekuensi pemberian sebesar 83%, dan tepat jumlah obat mencapai 100% dan secara keseluran bahwa OAINS yang digunakan di Puskesmas Poli-Polia Kabupaten Kolaka Timur belum rasional.","author":[{"dropping-particle":"","family":"Ridwan","given":"Bai Athur","non-dropping-particle":"","parse-names":false,"suffix":""},{"dropping-particle":"","family":"Fety","given":"Yulli","non-dropping-particle":"","parse-names":false,"suffix":""},{"dropping-particle":"","family":"Nurlinda","given":"Nurlinda","non-dropping-particle":"","parse-names":false,"suffix":""}],"container-title":"Jurnal Mandala Pharmacon Indonesia","id":"ITEM-1","issue":"1","issued":{"date-parts":[["2021"]]},"page":"1-8","title":"Evaluasi Rasionalitas Penggunaan Obat Anti Inflamasi Non Steroid (OAINS)","type":"article-journal","volume":"7"},"uris":["http://www.mendeley.com/documents/?uuid=8534a5d3-1b01-4834-965f-380e21081409"]}],"mendeley":{"formattedCitation":"(Ridwan et al., 2021)","plainTextFormattedCitation":"(Ridwan et al., 2021)","previouslyFormattedCitation":"(Ridwan et al., 2021)"},"properties":{"noteIndex":0},"schema":"https://github.com/citation-style-language/schema/raw/master/csl-citation.json"}</w:instrText>
      </w:r>
      <w:r>
        <w:rPr>
          <w:i w:val="0"/>
          <w:color w:val="000000" w:themeColor="text1"/>
        </w:rPr>
        <w:fldChar w:fldCharType="separate"/>
      </w:r>
      <w:r w:rsidRPr="002C1AFD">
        <w:rPr>
          <w:iCs/>
          <w:noProof/>
          <w:color w:val="000000" w:themeColor="text1"/>
        </w:rPr>
        <w:t>(Ridwan et al.</w:t>
      </w:r>
      <w:r w:rsidRPr="002C1AFD">
        <w:rPr>
          <w:i w:val="0"/>
          <w:noProof/>
          <w:color w:val="000000" w:themeColor="text1"/>
        </w:rPr>
        <w:t>, 2021)</w:t>
      </w:r>
      <w:r>
        <w:rPr>
          <w:i w:val="0"/>
          <w:color w:val="000000" w:themeColor="text1"/>
        </w:rPr>
        <w:fldChar w:fldCharType="end"/>
      </w:r>
      <w:commentRangeEnd w:id="8"/>
      <w:r w:rsidR="00235C52">
        <w:rPr>
          <w:rStyle w:val="CommentReference"/>
          <w:i w:val="0"/>
          <w:kern w:val="2"/>
        </w:rPr>
        <w:commentReference w:id="8"/>
      </w:r>
      <w:r>
        <w:rPr>
          <w:i w:val="0"/>
          <w:color w:val="000000" w:themeColor="text1"/>
        </w:rPr>
        <w:t xml:space="preserve">. </w:t>
      </w:r>
    </w:p>
    <w:p w14:paraId="173DABFF" w14:textId="2D45EF2A" w:rsidR="00552FC4" w:rsidRPr="00706FCF" w:rsidRDefault="002C1AFD" w:rsidP="002C1AFD">
      <w:pPr>
        <w:pStyle w:val="Addresses"/>
        <w:spacing w:line="240" w:lineRule="auto"/>
        <w:ind w:firstLine="567"/>
        <w:jc w:val="both"/>
        <w:rPr>
          <w:i w:val="0"/>
          <w:color w:val="000000" w:themeColor="text1"/>
        </w:rPr>
      </w:pPr>
      <w:r w:rsidRPr="002C1AFD">
        <w:rPr>
          <w:i w:val="0"/>
          <w:color w:val="000000" w:themeColor="text1"/>
        </w:rPr>
        <w:t xml:space="preserve">Berdasarkan latar belakang yang </w:t>
      </w:r>
      <w:r>
        <w:rPr>
          <w:i w:val="0"/>
          <w:color w:val="000000" w:themeColor="text1"/>
        </w:rPr>
        <w:t xml:space="preserve">telah </w:t>
      </w:r>
      <w:r w:rsidRPr="002C1AFD">
        <w:rPr>
          <w:i w:val="0"/>
          <w:color w:val="000000" w:themeColor="text1"/>
        </w:rPr>
        <w:t>dipaparkan</w:t>
      </w:r>
      <w:r>
        <w:rPr>
          <w:i w:val="0"/>
          <w:color w:val="000000" w:themeColor="text1"/>
        </w:rPr>
        <w:t xml:space="preserve"> diatas</w:t>
      </w:r>
      <w:r w:rsidRPr="002C1AFD">
        <w:rPr>
          <w:i w:val="0"/>
          <w:color w:val="000000" w:themeColor="text1"/>
        </w:rPr>
        <w:t xml:space="preserve">, OAINS mempunyai kemampuan dalam mengurangi nyeri pada pasien OA tetapi penggunaan OAINS secara mudah dan kurangnya edukasi di kalangan </w:t>
      </w:r>
      <w:r w:rsidRPr="002C1AFD">
        <w:rPr>
          <w:i w:val="0"/>
          <w:color w:val="000000" w:themeColor="text1"/>
        </w:rPr>
        <w:lastRenderedPageBreak/>
        <w:t>masyarakat mengenai efek samping yang ditimbulkan, peneliti tertarik untuk melakukan penelitian terkait mengevaluasi profil penggunaan serta efek samping yang ditimbulkan dari pengobatan OAINS pada pasien osteoartritis di instalasi rawat inap dan rawat jalan RS X Kudus.</w:t>
      </w:r>
    </w:p>
    <w:p w14:paraId="5ECE07F7" w14:textId="33331AC2" w:rsidR="00D24FD8" w:rsidRPr="00E64B01" w:rsidRDefault="00D24FD8" w:rsidP="00D24FD8">
      <w:pPr>
        <w:pStyle w:val="Addresses"/>
        <w:spacing w:line="240" w:lineRule="auto"/>
        <w:jc w:val="left"/>
        <w:rPr>
          <w:i w:val="0"/>
          <w:color w:val="FF0000"/>
        </w:rPr>
      </w:pPr>
    </w:p>
    <w:p w14:paraId="2114795B" w14:textId="2172AAD5" w:rsidR="00D24FD8" w:rsidRDefault="00D24FD8" w:rsidP="00D24FD8">
      <w:pPr>
        <w:pStyle w:val="Heading1"/>
        <w:jc w:val="both"/>
      </w:pPr>
      <w:r>
        <w:t>METODE</w:t>
      </w:r>
    </w:p>
    <w:p w14:paraId="29805DBE" w14:textId="764025BB" w:rsidR="00D24FD8" w:rsidRPr="00E64B01" w:rsidRDefault="00D24FD8" w:rsidP="00D24FD8">
      <w:pPr>
        <w:pStyle w:val="Addresses"/>
        <w:spacing w:line="240" w:lineRule="auto"/>
        <w:jc w:val="left"/>
        <w:rPr>
          <w:i w:val="0"/>
          <w:color w:val="FF0000"/>
        </w:rPr>
      </w:pPr>
    </w:p>
    <w:p w14:paraId="3C991904" w14:textId="5AF6A247" w:rsidR="00D24FD8" w:rsidRDefault="00C05058" w:rsidP="00C05058">
      <w:pPr>
        <w:pStyle w:val="Body"/>
        <w:spacing w:line="240" w:lineRule="auto"/>
        <w:ind w:firstLine="0"/>
        <w:rPr>
          <w:rStyle w:val="hps"/>
          <w:b/>
          <w:bCs/>
          <w:lang w:val="en-AU"/>
        </w:rPr>
      </w:pPr>
      <w:r w:rsidRPr="00C05058">
        <w:rPr>
          <w:rStyle w:val="hps"/>
          <w:b/>
          <w:bCs/>
          <w:lang w:val="en-AU"/>
        </w:rPr>
        <w:t xml:space="preserve">Jenis </w:t>
      </w:r>
      <w:r>
        <w:rPr>
          <w:rStyle w:val="hps"/>
          <w:b/>
          <w:bCs/>
          <w:lang w:val="en-AU"/>
        </w:rPr>
        <w:t>p</w:t>
      </w:r>
      <w:r w:rsidRPr="00C05058">
        <w:rPr>
          <w:rStyle w:val="hps"/>
          <w:b/>
          <w:bCs/>
          <w:lang w:val="en-AU"/>
        </w:rPr>
        <w:t>enelitian</w:t>
      </w:r>
    </w:p>
    <w:p w14:paraId="6CDDFAC2" w14:textId="6A8F7DD2" w:rsidR="00C05058" w:rsidRDefault="00C05058" w:rsidP="00C05058">
      <w:pPr>
        <w:pStyle w:val="Body"/>
        <w:spacing w:line="240" w:lineRule="auto"/>
        <w:ind w:firstLine="0"/>
      </w:pPr>
      <w:r w:rsidRPr="00C05058">
        <w:t>Jenis penelitian yang digunakan yaitu observasional deskriptif dengan pendekatan retrospektif.</w:t>
      </w:r>
    </w:p>
    <w:p w14:paraId="7C243747" w14:textId="31EBBB0F" w:rsidR="00C05058" w:rsidRDefault="00C05058" w:rsidP="00C05058">
      <w:pPr>
        <w:pStyle w:val="Body"/>
        <w:spacing w:line="240" w:lineRule="auto"/>
        <w:ind w:firstLine="0"/>
      </w:pPr>
    </w:p>
    <w:p w14:paraId="6BB14499" w14:textId="37688705" w:rsidR="00C05058" w:rsidRPr="00C05058" w:rsidRDefault="00C05058" w:rsidP="00C05058">
      <w:pPr>
        <w:pStyle w:val="Body"/>
        <w:spacing w:line="240" w:lineRule="auto"/>
        <w:ind w:firstLine="0"/>
        <w:rPr>
          <w:b/>
          <w:bCs/>
        </w:rPr>
      </w:pPr>
      <w:r w:rsidRPr="00C05058">
        <w:rPr>
          <w:b/>
          <w:bCs/>
        </w:rPr>
        <w:t>Tempat dan waktu penelitian</w:t>
      </w:r>
    </w:p>
    <w:p w14:paraId="50777CA2" w14:textId="2D207C7C" w:rsidR="00C05058" w:rsidRDefault="00C05058" w:rsidP="00C05058">
      <w:pPr>
        <w:pStyle w:val="Body"/>
        <w:spacing w:line="240" w:lineRule="auto"/>
        <w:ind w:firstLine="0"/>
      </w:pPr>
      <w:r w:rsidRPr="00C05058">
        <w:t>Penelitian ini dilakukan di instalasi rekam medis pasien RS X Kudus pada bulan Oktober-Desember 2025.</w:t>
      </w:r>
    </w:p>
    <w:p w14:paraId="0A2CB3FB" w14:textId="77777777" w:rsidR="00C05058" w:rsidRDefault="00C05058" w:rsidP="00C05058">
      <w:pPr>
        <w:pStyle w:val="Body"/>
        <w:spacing w:line="240" w:lineRule="auto"/>
        <w:ind w:firstLine="0"/>
      </w:pPr>
    </w:p>
    <w:p w14:paraId="00DFC54D" w14:textId="0541075B" w:rsidR="00C05058" w:rsidRPr="00C05058" w:rsidRDefault="00C05058" w:rsidP="00C05058">
      <w:pPr>
        <w:pStyle w:val="Body"/>
        <w:spacing w:line="240" w:lineRule="auto"/>
        <w:ind w:firstLine="0"/>
        <w:rPr>
          <w:b/>
          <w:bCs/>
        </w:rPr>
      </w:pPr>
      <w:r w:rsidRPr="00C05058">
        <w:rPr>
          <w:b/>
          <w:bCs/>
        </w:rPr>
        <w:t>Populasi</w:t>
      </w:r>
    </w:p>
    <w:p w14:paraId="37AA56B3" w14:textId="3E3776D2" w:rsidR="00C05058" w:rsidRDefault="00C05058" w:rsidP="00C05058">
      <w:pPr>
        <w:pStyle w:val="Body"/>
        <w:spacing w:line="240" w:lineRule="auto"/>
        <w:ind w:firstLine="0"/>
      </w:pPr>
      <w:r w:rsidRPr="00C05058">
        <w:t>Populasi pada penelitian ini yaitu seluruh pasien osteoartritis yang menjalani perawatan secara rawat jalan maupun rawat inap pada periode 2025 sebanyak 4.194 pasien.</w:t>
      </w:r>
    </w:p>
    <w:p w14:paraId="65ECBD8B" w14:textId="77777777" w:rsidR="00C05058" w:rsidRDefault="00C05058" w:rsidP="00C05058">
      <w:pPr>
        <w:pStyle w:val="Body"/>
        <w:spacing w:line="240" w:lineRule="auto"/>
        <w:ind w:firstLine="0"/>
      </w:pPr>
    </w:p>
    <w:p w14:paraId="4B2566CA" w14:textId="3BEC4F7D" w:rsidR="00C05058" w:rsidRPr="00C05058" w:rsidRDefault="00C05058" w:rsidP="00C05058">
      <w:pPr>
        <w:pStyle w:val="Body"/>
        <w:spacing w:line="240" w:lineRule="auto"/>
        <w:ind w:firstLine="0"/>
        <w:rPr>
          <w:b/>
          <w:bCs/>
        </w:rPr>
      </w:pPr>
      <w:r w:rsidRPr="00C05058">
        <w:rPr>
          <w:b/>
          <w:bCs/>
        </w:rPr>
        <w:t>Sampel</w:t>
      </w:r>
    </w:p>
    <w:p w14:paraId="18E3D86D" w14:textId="4F9BFFF1" w:rsidR="00C05058" w:rsidRDefault="00C05058" w:rsidP="00C05058">
      <w:pPr>
        <w:pStyle w:val="Body"/>
        <w:spacing w:line="240" w:lineRule="auto"/>
        <w:ind w:firstLine="0"/>
      </w:pPr>
      <w:r w:rsidRPr="00C05058">
        <w:t>Sampel pada penelitian ini yaitu sebanyak 118 pasien osteoartritis yang memenuhi kriteria inklusi.</w:t>
      </w:r>
    </w:p>
    <w:p w14:paraId="2FB7EFB5" w14:textId="77777777" w:rsidR="00C05058" w:rsidRDefault="00C05058" w:rsidP="00C05058">
      <w:pPr>
        <w:pStyle w:val="Body"/>
        <w:spacing w:line="240" w:lineRule="auto"/>
        <w:ind w:firstLine="0"/>
      </w:pPr>
    </w:p>
    <w:p w14:paraId="7857D919" w14:textId="14361F74" w:rsidR="00C05058" w:rsidRPr="00C05058" w:rsidRDefault="00C05058" w:rsidP="00C05058">
      <w:pPr>
        <w:pStyle w:val="Body"/>
        <w:spacing w:line="240" w:lineRule="auto"/>
        <w:ind w:firstLine="0"/>
        <w:rPr>
          <w:b/>
          <w:bCs/>
        </w:rPr>
      </w:pPr>
      <w:r w:rsidRPr="00C05058">
        <w:rPr>
          <w:b/>
          <w:bCs/>
        </w:rPr>
        <w:t xml:space="preserve">Teknik sampling </w:t>
      </w:r>
    </w:p>
    <w:p w14:paraId="5F1EA7C0" w14:textId="6E66864C" w:rsidR="00C05058" w:rsidRPr="00C05058" w:rsidRDefault="00C05058" w:rsidP="00C05058">
      <w:pPr>
        <w:pStyle w:val="Body"/>
        <w:spacing w:line="240" w:lineRule="auto"/>
        <w:ind w:firstLine="0"/>
      </w:pPr>
      <w:r w:rsidRPr="00C05058">
        <w:t xml:space="preserve">Teknik sampling pada penelitian ini menggunakan metode </w:t>
      </w:r>
      <w:r w:rsidRPr="00C05058">
        <w:rPr>
          <w:i/>
          <w:iCs/>
        </w:rPr>
        <w:t>purposive sampling</w:t>
      </w:r>
      <w:r w:rsidRPr="00C05058">
        <w:t>.</w:t>
      </w:r>
    </w:p>
    <w:p w14:paraId="6792337D" w14:textId="77777777" w:rsidR="00C05058" w:rsidRDefault="00C05058" w:rsidP="00D24FD8">
      <w:pPr>
        <w:pStyle w:val="Addresses"/>
        <w:spacing w:line="240" w:lineRule="auto"/>
        <w:jc w:val="left"/>
        <w:rPr>
          <w:i w:val="0"/>
          <w:color w:val="FF0000"/>
          <w:szCs w:val="24"/>
        </w:rPr>
      </w:pPr>
    </w:p>
    <w:p w14:paraId="759A03D9" w14:textId="43C50F66" w:rsidR="00C05058" w:rsidRDefault="00C05058" w:rsidP="00D24FD8">
      <w:pPr>
        <w:pStyle w:val="Addresses"/>
        <w:spacing w:line="240" w:lineRule="auto"/>
        <w:jc w:val="left"/>
        <w:rPr>
          <w:b/>
          <w:bCs/>
          <w:i w:val="0"/>
          <w:color w:val="000000" w:themeColor="text1"/>
          <w:szCs w:val="24"/>
        </w:rPr>
      </w:pPr>
      <w:r w:rsidRPr="00C05058">
        <w:rPr>
          <w:b/>
          <w:bCs/>
          <w:i w:val="0"/>
          <w:color w:val="000000" w:themeColor="text1"/>
          <w:szCs w:val="24"/>
        </w:rPr>
        <w:t>Analisis data</w:t>
      </w:r>
    </w:p>
    <w:p w14:paraId="2BF0BB42" w14:textId="17A7D7AD" w:rsidR="00C05058" w:rsidRDefault="00C05058" w:rsidP="00C05058">
      <w:pPr>
        <w:pStyle w:val="Addresses"/>
        <w:spacing w:line="240" w:lineRule="auto"/>
        <w:jc w:val="both"/>
        <w:rPr>
          <w:i w:val="0"/>
          <w:color w:val="000000" w:themeColor="text1"/>
          <w:szCs w:val="24"/>
        </w:rPr>
      </w:pPr>
      <w:r w:rsidRPr="00C05058">
        <w:rPr>
          <w:i w:val="0"/>
          <w:color w:val="000000" w:themeColor="text1"/>
          <w:szCs w:val="24"/>
        </w:rPr>
        <w:t>Hasil penelitian dianalisis secara univariat. Analisis univariat digunakan untuk menggambarkan setiap variabel penelitian secara terpisah tanpa menganalisis hubungan antarvariabel</w:t>
      </w:r>
      <w:r>
        <w:rPr>
          <w:i w:val="0"/>
          <w:color w:val="000000" w:themeColor="text1"/>
          <w:szCs w:val="24"/>
        </w:rPr>
        <w:t xml:space="preserve"> </w:t>
      </w:r>
      <w:r>
        <w:rPr>
          <w:i w:val="0"/>
          <w:color w:val="000000" w:themeColor="text1"/>
          <w:szCs w:val="24"/>
        </w:rPr>
        <w:fldChar w:fldCharType="begin" w:fldLock="1"/>
      </w:r>
      <w:r w:rsidR="003D41E9">
        <w:rPr>
          <w:i w:val="0"/>
          <w:color w:val="000000" w:themeColor="text1"/>
          <w:szCs w:val="24"/>
        </w:rPr>
        <w:instrText>ADDIN CSL_CITATION {"citationItems":[{"id":"ITEM-1","itemData":{"author":[{"dropping-particle":"","family":"Suryatman","given":"Tina Hernawati","non-dropping-particle":"","parse-names":false,"suffix":""},{"dropping-particle":"","family":"Hermawan","given":"Okky","non-dropping-particle":"","parse-names":false,"suffix":""},{"dropping-particle":"","family":"Pengajar","given":"Staf","non-dropping-particle":"","parse-names":false,"suffix":""},{"dropping-particle":"","family":"Studi","given":"Program","non-dropping-particle":"","parse-names":false,"suffix":""},{"dropping-particle":"","family":"Industri","given":"Teknik","non-dropping-particle":"","parse-names":false,"suffix":""},{"dropping-particle":"","family":"Teknik","given":"Fakultas","non-dropping-particle":"","parse-names":false,"suffix":""},{"dropping-particle":"","family":"Tangerang","given":"Universitas Muhammadiyah","non-dropping-particle":"","parse-names":false,"suffix":""}],"id":"ITEM-1","issue":"1","issued":{"date-parts":[["2021"]]},"title":"Perbaikan Intensitas Cahaya Pengguna Komputer Dengan Pendekatan Ergonomi Di Pt. Ujt Indonesia","type":"article-journal","volume":"10"},"uris":["http://www.mendeley.com/documents/?uuid=e254a49b-ba88-454b-9ece-6ee993940202"]}],"mendeley":{"formattedCitation":"(Suryatman et al., 2021)","plainTextFormattedCitation":"(Suryatman et al., 2021)","previouslyFormattedCitation":"(Suryatman et al., 2021)"},"properties":{"noteIndex":0},"schema":"https://github.com/citation-style-language/schema/raw/master/csl-citation.json"}</w:instrText>
      </w:r>
      <w:r>
        <w:rPr>
          <w:i w:val="0"/>
          <w:color w:val="000000" w:themeColor="text1"/>
          <w:szCs w:val="24"/>
        </w:rPr>
        <w:fldChar w:fldCharType="separate"/>
      </w:r>
      <w:r w:rsidRPr="00C05058">
        <w:rPr>
          <w:i w:val="0"/>
          <w:noProof/>
          <w:color w:val="000000" w:themeColor="text1"/>
          <w:szCs w:val="24"/>
        </w:rPr>
        <w:t xml:space="preserve">(Suryatman </w:t>
      </w:r>
      <w:r w:rsidRPr="00C05058">
        <w:rPr>
          <w:iCs/>
          <w:noProof/>
          <w:color w:val="000000" w:themeColor="text1"/>
          <w:szCs w:val="24"/>
        </w:rPr>
        <w:t>et al.</w:t>
      </w:r>
      <w:r w:rsidRPr="00C05058">
        <w:rPr>
          <w:i w:val="0"/>
          <w:noProof/>
          <w:color w:val="000000" w:themeColor="text1"/>
          <w:szCs w:val="24"/>
        </w:rPr>
        <w:t>, 2021)</w:t>
      </w:r>
      <w:r>
        <w:rPr>
          <w:i w:val="0"/>
          <w:color w:val="000000" w:themeColor="text1"/>
          <w:szCs w:val="24"/>
        </w:rPr>
        <w:fldChar w:fldCharType="end"/>
      </w:r>
      <w:r w:rsidRPr="00C05058">
        <w:rPr>
          <w:i w:val="0"/>
          <w:color w:val="000000" w:themeColor="text1"/>
          <w:szCs w:val="24"/>
        </w:rPr>
        <w:t xml:space="preserve"> </w:t>
      </w:r>
      <w:r>
        <w:rPr>
          <w:i w:val="0"/>
          <w:color w:val="000000" w:themeColor="text1"/>
          <w:szCs w:val="24"/>
        </w:rPr>
        <w:t>.</w:t>
      </w:r>
      <w:r w:rsidRPr="00C05058">
        <w:rPr>
          <w:i w:val="0"/>
          <w:color w:val="000000" w:themeColor="text1"/>
          <w:szCs w:val="24"/>
        </w:rPr>
        <w:t>Data yang dianalisis mencakup karakteristik pasien, pola penggunaan, serta efek samping penggunaan OAINS.</w:t>
      </w:r>
    </w:p>
    <w:p w14:paraId="3B6C3E5C" w14:textId="77777777" w:rsidR="00C05058" w:rsidRDefault="00C05058" w:rsidP="00C05058">
      <w:pPr>
        <w:pStyle w:val="Addresses"/>
        <w:spacing w:line="240" w:lineRule="auto"/>
        <w:jc w:val="both"/>
        <w:rPr>
          <w:i w:val="0"/>
          <w:color w:val="000000" w:themeColor="text1"/>
          <w:szCs w:val="24"/>
        </w:rPr>
      </w:pPr>
    </w:p>
    <w:p w14:paraId="3A659046" w14:textId="77777777" w:rsidR="00C05058" w:rsidRPr="00C05058" w:rsidRDefault="00C05058" w:rsidP="00C05058">
      <w:pPr>
        <w:pStyle w:val="Addresses"/>
        <w:spacing w:line="240" w:lineRule="auto"/>
        <w:jc w:val="both"/>
        <w:rPr>
          <w:i w:val="0"/>
          <w:color w:val="000000" w:themeColor="text1"/>
          <w:szCs w:val="24"/>
        </w:rPr>
      </w:pPr>
    </w:p>
    <w:p w14:paraId="122EF64D" w14:textId="20064779" w:rsidR="00D24FD8" w:rsidRDefault="00D24FD8" w:rsidP="00D24FD8">
      <w:pPr>
        <w:pStyle w:val="Heading1"/>
        <w:jc w:val="both"/>
      </w:pPr>
      <w:r>
        <w:rPr>
          <w:lang w:val="id-ID"/>
        </w:rPr>
        <w:t>HASIL DAN PEMBAHASAN</w:t>
      </w:r>
    </w:p>
    <w:p w14:paraId="2EABA4E4" w14:textId="320CA222" w:rsidR="00D24FD8" w:rsidRPr="00B25774" w:rsidRDefault="00D24FD8" w:rsidP="00D24FD8">
      <w:pPr>
        <w:pStyle w:val="Addresses"/>
        <w:spacing w:line="240" w:lineRule="auto"/>
        <w:jc w:val="left"/>
        <w:rPr>
          <w:color w:val="FF0000"/>
        </w:rPr>
      </w:pPr>
    </w:p>
    <w:p w14:paraId="4FCA57B4" w14:textId="1911BF41" w:rsidR="009132E5" w:rsidRPr="00C952CB" w:rsidRDefault="009132E5" w:rsidP="00C952CB">
      <w:pPr>
        <w:pStyle w:val="Addresses"/>
        <w:spacing w:line="240" w:lineRule="auto"/>
        <w:jc w:val="both"/>
        <w:rPr>
          <w:i w:val="0"/>
          <w:lang w:val="id-ID"/>
        </w:rPr>
      </w:pPr>
      <w:r w:rsidRPr="009132E5">
        <w:rPr>
          <w:rStyle w:val="hps"/>
          <w:i w:val="0"/>
          <w:lang w:val="id-ID"/>
        </w:rPr>
        <w:t xml:space="preserve">Penelitian ini dilakukan di instalasi Rekam Medis pasien RS X Kudus, terdapat 118 </w:t>
      </w:r>
      <w:commentRangeStart w:id="9"/>
      <w:r w:rsidRPr="009132E5">
        <w:rPr>
          <w:rStyle w:val="hps"/>
          <w:i w:val="0"/>
          <w:lang w:val="id-ID"/>
        </w:rPr>
        <w:t>pasien OA yang memenuhi kriteria inklusi periode Januari-Desember 2025</w:t>
      </w:r>
      <w:commentRangeEnd w:id="9"/>
      <w:r w:rsidR="0087387F">
        <w:rPr>
          <w:rStyle w:val="CommentReference"/>
          <w:i w:val="0"/>
          <w:kern w:val="2"/>
        </w:rPr>
        <w:commentReference w:id="9"/>
      </w:r>
      <w:r w:rsidRPr="009132E5">
        <w:rPr>
          <w:rStyle w:val="hps"/>
          <w:i w:val="0"/>
          <w:lang w:val="id-ID"/>
        </w:rPr>
        <w:t xml:space="preserve">. </w:t>
      </w:r>
    </w:p>
    <w:p w14:paraId="23DB19E3" w14:textId="13C3A771" w:rsidR="00D24FD8" w:rsidRDefault="00D24FD8" w:rsidP="00D24FD8">
      <w:pPr>
        <w:pStyle w:val="Addresses"/>
        <w:spacing w:line="240" w:lineRule="auto"/>
        <w:jc w:val="left"/>
        <w:rPr>
          <w:i w:val="0"/>
          <w:color w:val="FF0000"/>
        </w:rPr>
      </w:pPr>
    </w:p>
    <w:p w14:paraId="3936202A" w14:textId="535172FA" w:rsidR="004C6810" w:rsidRPr="004C6810" w:rsidRDefault="004C6810" w:rsidP="00D24FD8">
      <w:pPr>
        <w:pStyle w:val="Addresses"/>
        <w:spacing w:line="240" w:lineRule="auto"/>
        <w:jc w:val="left"/>
        <w:rPr>
          <w:b/>
          <w:bCs/>
          <w:i w:val="0"/>
          <w:color w:val="000000" w:themeColor="text1"/>
        </w:rPr>
      </w:pPr>
      <w:r w:rsidRPr="004C6810">
        <w:rPr>
          <w:b/>
          <w:bCs/>
          <w:i w:val="0"/>
          <w:color w:val="000000" w:themeColor="text1"/>
        </w:rPr>
        <w:t>Karakteristik Subjek Penelitian</w:t>
      </w:r>
    </w:p>
    <w:p w14:paraId="277CD0EA" w14:textId="545A3D54" w:rsidR="00D24FD8" w:rsidRDefault="00D24FD8" w:rsidP="004C6810">
      <w:pPr>
        <w:pStyle w:val="Addresses"/>
        <w:spacing w:line="240" w:lineRule="auto"/>
        <w:rPr>
          <w:i w:val="0"/>
        </w:rPr>
      </w:pPr>
      <w:r>
        <w:rPr>
          <w:i w:val="0"/>
        </w:rPr>
        <w:t>Tabel 1</w:t>
      </w:r>
      <w:r w:rsidR="00C952CB">
        <w:rPr>
          <w:i w:val="0"/>
        </w:rPr>
        <w:t>. Karakteristik subjek penelitian</w:t>
      </w:r>
    </w:p>
    <w:tbl>
      <w:tblPr>
        <w:tblStyle w:val="PlainTable21"/>
        <w:tblW w:w="0" w:type="auto"/>
        <w:tblLook w:val="0720" w:firstRow="1" w:lastRow="0" w:firstColumn="0" w:lastColumn="1" w:noHBand="1" w:noVBand="1"/>
      </w:tblPr>
      <w:tblGrid>
        <w:gridCol w:w="1785"/>
        <w:gridCol w:w="888"/>
        <w:gridCol w:w="1480"/>
      </w:tblGrid>
      <w:tr w:rsidR="00C952CB" w:rsidRPr="00C952CB" w14:paraId="3F4BC1F9" w14:textId="77777777" w:rsidTr="00226109">
        <w:trPr>
          <w:cnfStyle w:val="100000000000" w:firstRow="1" w:lastRow="0" w:firstColumn="0" w:lastColumn="0" w:oddVBand="0" w:evenVBand="0" w:oddHBand="0" w:evenHBand="0" w:firstRowFirstColumn="0" w:firstRowLastColumn="0" w:lastRowFirstColumn="0" w:lastRowLastColumn="0"/>
        </w:trPr>
        <w:tc>
          <w:tcPr>
            <w:tcW w:w="1785" w:type="dxa"/>
            <w:tcBorders>
              <w:top w:val="single" w:sz="4" w:space="0" w:color="auto"/>
              <w:bottom w:val="single" w:sz="4" w:space="0" w:color="auto"/>
            </w:tcBorders>
          </w:tcPr>
          <w:p w14:paraId="425A248C" w14:textId="77777777" w:rsidR="00C952CB" w:rsidRPr="00C952CB" w:rsidRDefault="00C952CB" w:rsidP="00C952CB">
            <w:pPr>
              <w:widowControl/>
              <w:autoSpaceDE/>
              <w:autoSpaceDN/>
              <w:adjustRightInd/>
              <w:spacing w:line="240" w:lineRule="auto"/>
              <w:contextualSpacing/>
              <w:textAlignment w:val="auto"/>
              <w:rPr>
                <w:rFonts w:eastAsia="Calibri"/>
                <w:kern w:val="0"/>
                <w:szCs w:val="22"/>
                <w:lang w:val="id" w:eastAsia="en-ID"/>
              </w:rPr>
            </w:pPr>
            <w:r w:rsidRPr="00C952CB">
              <w:rPr>
                <w:rFonts w:eastAsia="Calibri"/>
                <w:kern w:val="0"/>
                <w:szCs w:val="22"/>
                <w:lang w:val="id" w:eastAsia="en-ID"/>
              </w:rPr>
              <w:t>Karakteristik</w:t>
            </w:r>
          </w:p>
        </w:tc>
        <w:tc>
          <w:tcPr>
            <w:tcW w:w="888" w:type="dxa"/>
            <w:tcBorders>
              <w:top w:val="single" w:sz="4" w:space="0" w:color="auto"/>
              <w:bottom w:val="single" w:sz="4" w:space="0" w:color="auto"/>
            </w:tcBorders>
          </w:tcPr>
          <w:p w14:paraId="1738F6B6" w14:textId="77777777" w:rsidR="00C952CB" w:rsidRPr="00C952CB" w:rsidRDefault="00C952CB" w:rsidP="00C952CB">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Kasus (N)</w:t>
            </w:r>
          </w:p>
        </w:tc>
        <w:tc>
          <w:tcPr>
            <w:cnfStyle w:val="000100000000" w:firstRow="0" w:lastRow="0" w:firstColumn="0" w:lastColumn="1" w:oddVBand="0" w:evenVBand="0" w:oddHBand="0" w:evenHBand="0" w:firstRowFirstColumn="0" w:firstRowLastColumn="0" w:lastRowFirstColumn="0" w:lastRowLastColumn="0"/>
            <w:tcW w:w="1480" w:type="dxa"/>
            <w:tcBorders>
              <w:top w:val="single" w:sz="4" w:space="0" w:color="auto"/>
              <w:bottom w:val="single" w:sz="4" w:space="0" w:color="auto"/>
            </w:tcBorders>
          </w:tcPr>
          <w:p w14:paraId="7F5D7483" w14:textId="77777777" w:rsidR="00C952CB" w:rsidRPr="00C952CB" w:rsidRDefault="00C952CB" w:rsidP="00C952CB">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Persentase (100%)</w:t>
            </w:r>
          </w:p>
        </w:tc>
      </w:tr>
      <w:tr w:rsidR="00C952CB" w:rsidRPr="00C952CB" w14:paraId="1E9A8E9D" w14:textId="77777777" w:rsidTr="00226109">
        <w:tc>
          <w:tcPr>
            <w:tcW w:w="1785" w:type="dxa"/>
            <w:tcBorders>
              <w:top w:val="single" w:sz="4" w:space="0" w:color="auto"/>
            </w:tcBorders>
          </w:tcPr>
          <w:p w14:paraId="585D3503" w14:textId="77777777" w:rsidR="00C952CB" w:rsidRPr="00C952CB" w:rsidRDefault="00C952CB" w:rsidP="00C952CB">
            <w:pPr>
              <w:widowControl/>
              <w:autoSpaceDE/>
              <w:autoSpaceDN/>
              <w:adjustRightInd/>
              <w:spacing w:line="240" w:lineRule="auto"/>
              <w:contextualSpacing/>
              <w:jc w:val="left"/>
              <w:textAlignment w:val="auto"/>
              <w:rPr>
                <w:rFonts w:eastAsia="Calibri"/>
                <w:b/>
                <w:bCs/>
                <w:kern w:val="0"/>
                <w:szCs w:val="22"/>
                <w:lang w:val="id" w:eastAsia="en-ID"/>
              </w:rPr>
            </w:pPr>
            <w:r w:rsidRPr="00C952CB">
              <w:rPr>
                <w:rFonts w:eastAsia="Calibri"/>
                <w:b/>
                <w:bCs/>
                <w:kern w:val="0"/>
                <w:szCs w:val="22"/>
                <w:lang w:val="id" w:eastAsia="en-ID"/>
              </w:rPr>
              <w:t>Jenis Kelamin</w:t>
            </w:r>
          </w:p>
        </w:tc>
        <w:tc>
          <w:tcPr>
            <w:tcW w:w="888" w:type="dxa"/>
            <w:tcBorders>
              <w:top w:val="single" w:sz="4" w:space="0" w:color="auto"/>
            </w:tcBorders>
          </w:tcPr>
          <w:p w14:paraId="0AC79FD7" w14:textId="77777777" w:rsidR="00C952CB" w:rsidRPr="00C952CB" w:rsidRDefault="00C952CB" w:rsidP="00C952CB">
            <w:pPr>
              <w:widowControl/>
              <w:autoSpaceDE/>
              <w:autoSpaceDN/>
              <w:adjustRightInd/>
              <w:spacing w:line="240" w:lineRule="auto"/>
              <w:contextualSpacing/>
              <w:jc w:val="center"/>
              <w:textAlignment w:val="auto"/>
              <w:rPr>
                <w:rFonts w:eastAsia="Calibri"/>
                <w:b/>
                <w:bCs/>
                <w:kern w:val="0"/>
                <w:szCs w:val="22"/>
                <w:lang w:val="id" w:eastAsia="en-ID"/>
              </w:rPr>
            </w:pPr>
          </w:p>
        </w:tc>
        <w:tc>
          <w:tcPr>
            <w:cnfStyle w:val="000100000000" w:firstRow="0" w:lastRow="0" w:firstColumn="0" w:lastColumn="1" w:oddVBand="0" w:evenVBand="0" w:oddHBand="0" w:evenHBand="0" w:firstRowFirstColumn="0" w:firstRowLastColumn="0" w:lastRowFirstColumn="0" w:lastRowLastColumn="0"/>
            <w:tcW w:w="1480" w:type="dxa"/>
            <w:tcBorders>
              <w:top w:val="single" w:sz="4" w:space="0" w:color="auto"/>
            </w:tcBorders>
          </w:tcPr>
          <w:p w14:paraId="274BB63A" w14:textId="77777777" w:rsidR="00C952CB" w:rsidRPr="00C952CB" w:rsidRDefault="00C952CB" w:rsidP="00C952CB">
            <w:pPr>
              <w:widowControl/>
              <w:autoSpaceDE/>
              <w:autoSpaceDN/>
              <w:adjustRightInd/>
              <w:spacing w:line="240" w:lineRule="auto"/>
              <w:contextualSpacing/>
              <w:jc w:val="center"/>
              <w:textAlignment w:val="auto"/>
              <w:rPr>
                <w:rFonts w:eastAsia="Calibri"/>
                <w:kern w:val="0"/>
                <w:szCs w:val="22"/>
                <w:lang w:val="id" w:eastAsia="en-ID"/>
              </w:rPr>
            </w:pPr>
          </w:p>
        </w:tc>
      </w:tr>
      <w:tr w:rsidR="00C952CB" w:rsidRPr="00C952CB" w14:paraId="29A6A97B" w14:textId="77777777" w:rsidTr="00226109">
        <w:tc>
          <w:tcPr>
            <w:tcW w:w="1785" w:type="dxa"/>
          </w:tcPr>
          <w:p w14:paraId="2A5DD1B6" w14:textId="77777777" w:rsidR="00C952CB" w:rsidRPr="00C952CB" w:rsidRDefault="00C952CB" w:rsidP="00C952CB">
            <w:pPr>
              <w:widowControl/>
              <w:autoSpaceDE/>
              <w:autoSpaceDN/>
              <w:adjustRightInd/>
              <w:spacing w:line="240" w:lineRule="auto"/>
              <w:contextualSpacing/>
              <w:jc w:val="left"/>
              <w:textAlignment w:val="auto"/>
              <w:rPr>
                <w:rFonts w:eastAsia="Calibri"/>
                <w:kern w:val="0"/>
                <w:szCs w:val="22"/>
                <w:lang w:val="id" w:eastAsia="en-ID"/>
              </w:rPr>
            </w:pPr>
            <w:r w:rsidRPr="00C952CB">
              <w:rPr>
                <w:rFonts w:eastAsia="Calibri"/>
                <w:kern w:val="0"/>
                <w:szCs w:val="22"/>
                <w:lang w:val="id" w:eastAsia="en-ID"/>
              </w:rPr>
              <w:t>Laki-laki</w:t>
            </w:r>
          </w:p>
        </w:tc>
        <w:tc>
          <w:tcPr>
            <w:tcW w:w="888" w:type="dxa"/>
          </w:tcPr>
          <w:p w14:paraId="6C430131" w14:textId="77777777" w:rsidR="00C952CB" w:rsidRPr="00C952CB" w:rsidRDefault="00C952CB" w:rsidP="00C952CB">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32</w:t>
            </w:r>
          </w:p>
        </w:tc>
        <w:tc>
          <w:tcPr>
            <w:cnfStyle w:val="000100000000" w:firstRow="0" w:lastRow="0" w:firstColumn="0" w:lastColumn="1" w:oddVBand="0" w:evenVBand="0" w:oddHBand="0" w:evenHBand="0" w:firstRowFirstColumn="0" w:firstRowLastColumn="0" w:lastRowFirstColumn="0" w:lastRowLastColumn="0"/>
            <w:tcW w:w="1480" w:type="dxa"/>
          </w:tcPr>
          <w:p w14:paraId="619198FA" w14:textId="77777777" w:rsidR="00C952CB" w:rsidRPr="00C952CB" w:rsidRDefault="00C952CB" w:rsidP="00C952CB">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27,1</w:t>
            </w:r>
          </w:p>
        </w:tc>
      </w:tr>
      <w:tr w:rsidR="00C952CB" w:rsidRPr="00C952CB" w14:paraId="3B193B3D" w14:textId="77777777" w:rsidTr="00226109">
        <w:tc>
          <w:tcPr>
            <w:tcW w:w="1785" w:type="dxa"/>
            <w:tcBorders>
              <w:bottom w:val="nil"/>
            </w:tcBorders>
          </w:tcPr>
          <w:p w14:paraId="79C0946B" w14:textId="77777777" w:rsidR="00C952CB" w:rsidRPr="00C952CB" w:rsidRDefault="00C952CB" w:rsidP="00C952CB">
            <w:pPr>
              <w:widowControl/>
              <w:autoSpaceDE/>
              <w:autoSpaceDN/>
              <w:adjustRightInd/>
              <w:spacing w:line="240" w:lineRule="auto"/>
              <w:contextualSpacing/>
              <w:jc w:val="left"/>
              <w:textAlignment w:val="auto"/>
              <w:rPr>
                <w:rFonts w:eastAsia="Calibri"/>
                <w:kern w:val="0"/>
                <w:szCs w:val="22"/>
                <w:lang w:val="id" w:eastAsia="en-ID"/>
              </w:rPr>
            </w:pPr>
            <w:commentRangeStart w:id="10"/>
            <w:r w:rsidRPr="00C952CB">
              <w:rPr>
                <w:rFonts w:eastAsia="Calibri"/>
                <w:kern w:val="0"/>
                <w:szCs w:val="22"/>
                <w:lang w:val="id" w:eastAsia="en-ID"/>
              </w:rPr>
              <w:t>Perempuan</w:t>
            </w:r>
          </w:p>
        </w:tc>
        <w:tc>
          <w:tcPr>
            <w:tcW w:w="888" w:type="dxa"/>
            <w:tcBorders>
              <w:bottom w:val="nil"/>
            </w:tcBorders>
          </w:tcPr>
          <w:p w14:paraId="6C0ACAAC" w14:textId="77777777" w:rsidR="00C952CB" w:rsidRPr="00C952CB" w:rsidRDefault="00C952CB" w:rsidP="00C952CB">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86</w:t>
            </w:r>
          </w:p>
        </w:tc>
        <w:tc>
          <w:tcPr>
            <w:cnfStyle w:val="000100000000" w:firstRow="0" w:lastRow="0" w:firstColumn="0" w:lastColumn="1" w:oddVBand="0" w:evenVBand="0" w:oddHBand="0" w:evenHBand="0" w:firstRowFirstColumn="0" w:firstRowLastColumn="0" w:lastRowFirstColumn="0" w:lastRowLastColumn="0"/>
            <w:tcW w:w="1480" w:type="dxa"/>
            <w:tcBorders>
              <w:bottom w:val="nil"/>
            </w:tcBorders>
          </w:tcPr>
          <w:p w14:paraId="750E27C9" w14:textId="77777777" w:rsidR="00C952CB" w:rsidRPr="00C952CB" w:rsidRDefault="00C952CB" w:rsidP="00C952CB">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72,9</w:t>
            </w:r>
            <w:commentRangeEnd w:id="10"/>
            <w:r w:rsidR="0087387F">
              <w:rPr>
                <w:rStyle w:val="CommentReference"/>
                <w:b w:val="0"/>
                <w:bCs w:val="0"/>
                <w:lang w:val="en-US"/>
                <w14:ligatures w14:val="none"/>
              </w:rPr>
              <w:commentReference w:id="10"/>
            </w:r>
          </w:p>
        </w:tc>
      </w:tr>
      <w:tr w:rsidR="00C952CB" w:rsidRPr="00C952CB" w14:paraId="1E1AE4A4" w14:textId="77777777" w:rsidTr="00226109">
        <w:tc>
          <w:tcPr>
            <w:tcW w:w="1785" w:type="dxa"/>
            <w:tcBorders>
              <w:top w:val="single" w:sz="4" w:space="0" w:color="auto"/>
            </w:tcBorders>
          </w:tcPr>
          <w:p w14:paraId="52025851" w14:textId="77777777" w:rsidR="00C952CB" w:rsidRPr="00C952CB" w:rsidRDefault="00C952CB" w:rsidP="00C952CB">
            <w:pPr>
              <w:widowControl/>
              <w:autoSpaceDE/>
              <w:autoSpaceDN/>
              <w:adjustRightInd/>
              <w:spacing w:line="240" w:lineRule="auto"/>
              <w:contextualSpacing/>
              <w:jc w:val="left"/>
              <w:textAlignment w:val="auto"/>
              <w:rPr>
                <w:rFonts w:eastAsia="Calibri"/>
                <w:b/>
                <w:bCs/>
                <w:kern w:val="0"/>
                <w:szCs w:val="22"/>
                <w:lang w:val="id" w:eastAsia="en-ID"/>
              </w:rPr>
            </w:pPr>
            <w:r w:rsidRPr="00C952CB">
              <w:rPr>
                <w:rFonts w:eastAsia="Calibri"/>
                <w:b/>
                <w:bCs/>
                <w:kern w:val="0"/>
                <w:szCs w:val="22"/>
                <w:lang w:val="id" w:eastAsia="en-ID"/>
              </w:rPr>
              <w:t>Usia</w:t>
            </w:r>
          </w:p>
        </w:tc>
        <w:tc>
          <w:tcPr>
            <w:tcW w:w="888" w:type="dxa"/>
            <w:tcBorders>
              <w:top w:val="single" w:sz="4" w:space="0" w:color="auto"/>
            </w:tcBorders>
          </w:tcPr>
          <w:p w14:paraId="3F030E5E" w14:textId="77777777" w:rsidR="00C952CB" w:rsidRPr="00C952CB" w:rsidRDefault="00C952CB" w:rsidP="00C952CB">
            <w:pPr>
              <w:widowControl/>
              <w:autoSpaceDE/>
              <w:autoSpaceDN/>
              <w:adjustRightInd/>
              <w:spacing w:line="240" w:lineRule="auto"/>
              <w:contextualSpacing/>
              <w:jc w:val="center"/>
              <w:textAlignment w:val="auto"/>
              <w:rPr>
                <w:rFonts w:eastAsia="Calibri"/>
                <w:kern w:val="0"/>
                <w:szCs w:val="22"/>
                <w:lang w:val="id" w:eastAsia="en-ID"/>
              </w:rPr>
            </w:pPr>
          </w:p>
        </w:tc>
        <w:tc>
          <w:tcPr>
            <w:cnfStyle w:val="000100000000" w:firstRow="0" w:lastRow="0" w:firstColumn="0" w:lastColumn="1" w:oddVBand="0" w:evenVBand="0" w:oddHBand="0" w:evenHBand="0" w:firstRowFirstColumn="0" w:firstRowLastColumn="0" w:lastRowFirstColumn="0" w:lastRowLastColumn="0"/>
            <w:tcW w:w="1480" w:type="dxa"/>
            <w:tcBorders>
              <w:top w:val="single" w:sz="4" w:space="0" w:color="auto"/>
            </w:tcBorders>
          </w:tcPr>
          <w:p w14:paraId="734AF80C" w14:textId="77777777" w:rsidR="00C952CB" w:rsidRPr="00C952CB" w:rsidRDefault="00C952CB" w:rsidP="00C952CB">
            <w:pPr>
              <w:widowControl/>
              <w:autoSpaceDE/>
              <w:autoSpaceDN/>
              <w:adjustRightInd/>
              <w:spacing w:line="240" w:lineRule="auto"/>
              <w:contextualSpacing/>
              <w:jc w:val="center"/>
              <w:textAlignment w:val="auto"/>
              <w:rPr>
                <w:rFonts w:eastAsia="Calibri"/>
                <w:b w:val="0"/>
                <w:bCs w:val="0"/>
                <w:kern w:val="0"/>
                <w:szCs w:val="22"/>
                <w:lang w:val="id" w:eastAsia="en-ID"/>
              </w:rPr>
            </w:pPr>
          </w:p>
        </w:tc>
      </w:tr>
      <w:tr w:rsidR="00C952CB" w:rsidRPr="00C952CB" w14:paraId="66DFAFA1" w14:textId="77777777" w:rsidTr="00226109">
        <w:tc>
          <w:tcPr>
            <w:tcW w:w="1785" w:type="dxa"/>
          </w:tcPr>
          <w:p w14:paraId="08C219DC" w14:textId="77777777" w:rsidR="00C952CB" w:rsidRPr="00C952CB" w:rsidRDefault="00C952CB" w:rsidP="00C952CB">
            <w:pPr>
              <w:widowControl/>
              <w:autoSpaceDE/>
              <w:autoSpaceDN/>
              <w:adjustRightInd/>
              <w:spacing w:line="240" w:lineRule="auto"/>
              <w:contextualSpacing/>
              <w:jc w:val="left"/>
              <w:textAlignment w:val="auto"/>
              <w:rPr>
                <w:rFonts w:eastAsia="Calibri"/>
                <w:kern w:val="0"/>
                <w:szCs w:val="22"/>
                <w:lang w:val="id" w:eastAsia="en-ID"/>
              </w:rPr>
            </w:pPr>
            <w:r w:rsidRPr="00C952CB">
              <w:rPr>
                <w:rFonts w:eastAsia="Calibri"/>
                <w:kern w:val="0"/>
                <w:szCs w:val="22"/>
                <w:lang w:val="id" w:eastAsia="en-ID"/>
              </w:rPr>
              <w:t>35-45 tahun</w:t>
            </w:r>
          </w:p>
        </w:tc>
        <w:tc>
          <w:tcPr>
            <w:tcW w:w="888" w:type="dxa"/>
          </w:tcPr>
          <w:p w14:paraId="1966BBD4" w14:textId="77777777" w:rsidR="00C952CB" w:rsidRPr="00C952CB" w:rsidRDefault="00C952CB" w:rsidP="00C952CB">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3</w:t>
            </w:r>
          </w:p>
        </w:tc>
        <w:tc>
          <w:tcPr>
            <w:cnfStyle w:val="000100000000" w:firstRow="0" w:lastRow="0" w:firstColumn="0" w:lastColumn="1" w:oddVBand="0" w:evenVBand="0" w:oddHBand="0" w:evenHBand="0" w:firstRowFirstColumn="0" w:firstRowLastColumn="0" w:lastRowFirstColumn="0" w:lastRowLastColumn="0"/>
            <w:tcW w:w="1480" w:type="dxa"/>
          </w:tcPr>
          <w:p w14:paraId="1540829E" w14:textId="77777777" w:rsidR="00C952CB" w:rsidRPr="00C952CB" w:rsidRDefault="00C952CB" w:rsidP="00C952CB">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2,5</w:t>
            </w:r>
          </w:p>
        </w:tc>
      </w:tr>
      <w:tr w:rsidR="00C952CB" w:rsidRPr="00C952CB" w14:paraId="0C3AE8DD" w14:textId="77777777" w:rsidTr="00226109">
        <w:tc>
          <w:tcPr>
            <w:tcW w:w="1785" w:type="dxa"/>
          </w:tcPr>
          <w:p w14:paraId="2E61913A" w14:textId="77777777" w:rsidR="00C952CB" w:rsidRPr="00C952CB" w:rsidRDefault="00C952CB" w:rsidP="00C952CB">
            <w:pPr>
              <w:widowControl/>
              <w:autoSpaceDE/>
              <w:autoSpaceDN/>
              <w:adjustRightInd/>
              <w:spacing w:line="240" w:lineRule="auto"/>
              <w:contextualSpacing/>
              <w:jc w:val="left"/>
              <w:textAlignment w:val="auto"/>
              <w:rPr>
                <w:rFonts w:eastAsia="Calibri"/>
                <w:kern w:val="0"/>
                <w:szCs w:val="22"/>
                <w:lang w:val="id" w:eastAsia="en-ID"/>
              </w:rPr>
            </w:pPr>
            <w:r w:rsidRPr="00C952CB">
              <w:rPr>
                <w:rFonts w:eastAsia="Calibri"/>
                <w:kern w:val="0"/>
                <w:szCs w:val="22"/>
                <w:lang w:val="id" w:eastAsia="en-ID"/>
              </w:rPr>
              <w:t>46-55 tahun</w:t>
            </w:r>
          </w:p>
        </w:tc>
        <w:tc>
          <w:tcPr>
            <w:tcW w:w="888" w:type="dxa"/>
          </w:tcPr>
          <w:p w14:paraId="700D1A76" w14:textId="77777777" w:rsidR="00C952CB" w:rsidRPr="00C952CB" w:rsidRDefault="00C952CB" w:rsidP="00C952CB">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36</w:t>
            </w:r>
          </w:p>
        </w:tc>
        <w:tc>
          <w:tcPr>
            <w:cnfStyle w:val="000100000000" w:firstRow="0" w:lastRow="0" w:firstColumn="0" w:lastColumn="1" w:oddVBand="0" w:evenVBand="0" w:oddHBand="0" w:evenHBand="0" w:firstRowFirstColumn="0" w:firstRowLastColumn="0" w:lastRowFirstColumn="0" w:lastRowLastColumn="0"/>
            <w:tcW w:w="1480" w:type="dxa"/>
          </w:tcPr>
          <w:p w14:paraId="41BD0A24" w14:textId="77777777" w:rsidR="00C952CB" w:rsidRPr="00C952CB" w:rsidRDefault="00C952CB" w:rsidP="00C952CB">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30,5</w:t>
            </w:r>
          </w:p>
        </w:tc>
      </w:tr>
      <w:tr w:rsidR="00C952CB" w:rsidRPr="00C952CB" w14:paraId="265DA8D2" w14:textId="77777777" w:rsidTr="00226109">
        <w:tc>
          <w:tcPr>
            <w:tcW w:w="1785" w:type="dxa"/>
          </w:tcPr>
          <w:p w14:paraId="4B041B56" w14:textId="77777777" w:rsidR="00C952CB" w:rsidRPr="00C952CB" w:rsidRDefault="00C952CB" w:rsidP="00C952CB">
            <w:pPr>
              <w:widowControl/>
              <w:autoSpaceDE/>
              <w:autoSpaceDN/>
              <w:adjustRightInd/>
              <w:spacing w:line="240" w:lineRule="auto"/>
              <w:contextualSpacing/>
              <w:jc w:val="left"/>
              <w:textAlignment w:val="auto"/>
              <w:rPr>
                <w:rFonts w:eastAsia="Calibri"/>
                <w:kern w:val="0"/>
                <w:szCs w:val="22"/>
                <w:lang w:val="id" w:eastAsia="en-ID"/>
              </w:rPr>
            </w:pPr>
            <w:r w:rsidRPr="00C952CB">
              <w:rPr>
                <w:rFonts w:eastAsia="Calibri"/>
                <w:kern w:val="0"/>
                <w:szCs w:val="22"/>
                <w:lang w:val="id" w:eastAsia="en-ID"/>
              </w:rPr>
              <w:t>56-65 tahun</w:t>
            </w:r>
          </w:p>
        </w:tc>
        <w:tc>
          <w:tcPr>
            <w:tcW w:w="888" w:type="dxa"/>
          </w:tcPr>
          <w:p w14:paraId="77997CCB" w14:textId="77777777" w:rsidR="00C952CB" w:rsidRPr="00C952CB" w:rsidRDefault="00C952CB" w:rsidP="00C952CB">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41</w:t>
            </w:r>
          </w:p>
        </w:tc>
        <w:tc>
          <w:tcPr>
            <w:cnfStyle w:val="000100000000" w:firstRow="0" w:lastRow="0" w:firstColumn="0" w:lastColumn="1" w:oddVBand="0" w:evenVBand="0" w:oddHBand="0" w:evenHBand="0" w:firstRowFirstColumn="0" w:firstRowLastColumn="0" w:lastRowFirstColumn="0" w:lastRowLastColumn="0"/>
            <w:tcW w:w="1480" w:type="dxa"/>
          </w:tcPr>
          <w:p w14:paraId="56556DAF" w14:textId="77777777" w:rsidR="00C952CB" w:rsidRPr="00C952CB" w:rsidRDefault="00C952CB" w:rsidP="00C952CB">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34,7</w:t>
            </w:r>
          </w:p>
        </w:tc>
      </w:tr>
      <w:tr w:rsidR="00C952CB" w:rsidRPr="00C952CB" w14:paraId="17473566" w14:textId="77777777" w:rsidTr="00226109">
        <w:tc>
          <w:tcPr>
            <w:tcW w:w="1785" w:type="dxa"/>
            <w:tcBorders>
              <w:bottom w:val="nil"/>
            </w:tcBorders>
          </w:tcPr>
          <w:p w14:paraId="72223662" w14:textId="77777777" w:rsidR="00C952CB" w:rsidRPr="00C952CB" w:rsidRDefault="00C952CB" w:rsidP="00C952CB">
            <w:pPr>
              <w:widowControl/>
              <w:autoSpaceDE/>
              <w:autoSpaceDN/>
              <w:adjustRightInd/>
              <w:spacing w:line="240" w:lineRule="auto"/>
              <w:contextualSpacing/>
              <w:jc w:val="left"/>
              <w:textAlignment w:val="auto"/>
              <w:rPr>
                <w:rFonts w:eastAsia="Calibri"/>
                <w:kern w:val="0"/>
                <w:szCs w:val="22"/>
                <w:lang w:val="id" w:eastAsia="en-ID"/>
              </w:rPr>
            </w:pPr>
            <w:r w:rsidRPr="00C952CB">
              <w:rPr>
                <w:rFonts w:eastAsia="Calibri"/>
                <w:kern w:val="0"/>
                <w:szCs w:val="22"/>
                <w:lang w:val="id" w:eastAsia="en-ID"/>
              </w:rPr>
              <w:t>66-75 tahun</w:t>
            </w:r>
          </w:p>
        </w:tc>
        <w:tc>
          <w:tcPr>
            <w:tcW w:w="888" w:type="dxa"/>
            <w:tcBorders>
              <w:bottom w:val="nil"/>
            </w:tcBorders>
          </w:tcPr>
          <w:p w14:paraId="258D535A" w14:textId="77777777" w:rsidR="00C952CB" w:rsidRPr="00C952CB" w:rsidRDefault="00C952CB" w:rsidP="00C952CB">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38</w:t>
            </w:r>
          </w:p>
        </w:tc>
        <w:tc>
          <w:tcPr>
            <w:cnfStyle w:val="000100000000" w:firstRow="0" w:lastRow="0" w:firstColumn="0" w:lastColumn="1" w:oddVBand="0" w:evenVBand="0" w:oddHBand="0" w:evenHBand="0" w:firstRowFirstColumn="0" w:firstRowLastColumn="0" w:lastRowFirstColumn="0" w:lastRowLastColumn="0"/>
            <w:tcW w:w="1480" w:type="dxa"/>
            <w:tcBorders>
              <w:bottom w:val="nil"/>
            </w:tcBorders>
          </w:tcPr>
          <w:p w14:paraId="39C36003" w14:textId="77777777" w:rsidR="00C952CB" w:rsidRPr="00C952CB" w:rsidRDefault="00C952CB" w:rsidP="00C952CB">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32,2</w:t>
            </w:r>
          </w:p>
        </w:tc>
      </w:tr>
      <w:tr w:rsidR="00C952CB" w:rsidRPr="00C952CB" w14:paraId="1642CFB4" w14:textId="77777777" w:rsidTr="00226109">
        <w:tc>
          <w:tcPr>
            <w:tcW w:w="1785" w:type="dxa"/>
            <w:tcBorders>
              <w:top w:val="single" w:sz="4" w:space="0" w:color="auto"/>
            </w:tcBorders>
          </w:tcPr>
          <w:p w14:paraId="21D84985" w14:textId="77777777" w:rsidR="00C952CB" w:rsidRPr="00C952CB" w:rsidRDefault="00C952CB" w:rsidP="00C952CB">
            <w:pPr>
              <w:widowControl/>
              <w:autoSpaceDE/>
              <w:autoSpaceDN/>
              <w:adjustRightInd/>
              <w:spacing w:line="240" w:lineRule="auto"/>
              <w:contextualSpacing/>
              <w:jc w:val="left"/>
              <w:textAlignment w:val="auto"/>
              <w:rPr>
                <w:rFonts w:eastAsia="Calibri"/>
                <w:b/>
                <w:bCs/>
                <w:kern w:val="0"/>
                <w:szCs w:val="22"/>
                <w:lang w:val="id" w:eastAsia="en-ID"/>
              </w:rPr>
            </w:pPr>
            <w:r w:rsidRPr="00C952CB">
              <w:rPr>
                <w:rFonts w:eastAsia="Calibri"/>
                <w:b/>
                <w:bCs/>
                <w:kern w:val="0"/>
                <w:szCs w:val="22"/>
                <w:lang w:val="id" w:eastAsia="en-ID"/>
              </w:rPr>
              <w:t>IMT (Indeks Massa Tubuh)</w:t>
            </w:r>
          </w:p>
        </w:tc>
        <w:tc>
          <w:tcPr>
            <w:tcW w:w="888" w:type="dxa"/>
            <w:tcBorders>
              <w:top w:val="single" w:sz="4" w:space="0" w:color="auto"/>
            </w:tcBorders>
          </w:tcPr>
          <w:p w14:paraId="01894764" w14:textId="77777777" w:rsidR="00C952CB" w:rsidRPr="00C952CB" w:rsidRDefault="00C952CB" w:rsidP="00C952CB">
            <w:pPr>
              <w:widowControl/>
              <w:autoSpaceDE/>
              <w:autoSpaceDN/>
              <w:adjustRightInd/>
              <w:spacing w:line="240" w:lineRule="auto"/>
              <w:contextualSpacing/>
              <w:jc w:val="center"/>
              <w:textAlignment w:val="auto"/>
              <w:rPr>
                <w:rFonts w:eastAsia="Calibri"/>
                <w:kern w:val="0"/>
                <w:szCs w:val="22"/>
                <w:lang w:val="id" w:eastAsia="en-ID"/>
              </w:rPr>
            </w:pPr>
          </w:p>
        </w:tc>
        <w:tc>
          <w:tcPr>
            <w:cnfStyle w:val="000100000000" w:firstRow="0" w:lastRow="0" w:firstColumn="0" w:lastColumn="1" w:oddVBand="0" w:evenVBand="0" w:oddHBand="0" w:evenHBand="0" w:firstRowFirstColumn="0" w:firstRowLastColumn="0" w:lastRowFirstColumn="0" w:lastRowLastColumn="0"/>
            <w:tcW w:w="1480" w:type="dxa"/>
            <w:tcBorders>
              <w:top w:val="single" w:sz="4" w:space="0" w:color="auto"/>
            </w:tcBorders>
          </w:tcPr>
          <w:p w14:paraId="0A84732A" w14:textId="77777777" w:rsidR="00C952CB" w:rsidRPr="00C952CB" w:rsidRDefault="00C952CB" w:rsidP="00C952CB">
            <w:pPr>
              <w:widowControl/>
              <w:autoSpaceDE/>
              <w:autoSpaceDN/>
              <w:adjustRightInd/>
              <w:spacing w:line="240" w:lineRule="auto"/>
              <w:contextualSpacing/>
              <w:jc w:val="center"/>
              <w:textAlignment w:val="auto"/>
              <w:rPr>
                <w:rFonts w:eastAsia="Calibri"/>
                <w:b w:val="0"/>
                <w:bCs w:val="0"/>
                <w:kern w:val="0"/>
                <w:szCs w:val="22"/>
                <w:lang w:val="id" w:eastAsia="en-ID"/>
              </w:rPr>
            </w:pPr>
          </w:p>
        </w:tc>
      </w:tr>
      <w:tr w:rsidR="00C952CB" w:rsidRPr="00C952CB" w14:paraId="0BB85C63" w14:textId="77777777" w:rsidTr="00226109">
        <w:tc>
          <w:tcPr>
            <w:tcW w:w="1785" w:type="dxa"/>
          </w:tcPr>
          <w:p w14:paraId="1C26E946" w14:textId="77777777" w:rsidR="00C952CB" w:rsidRPr="00C952CB" w:rsidRDefault="00C952CB" w:rsidP="00C952CB">
            <w:pPr>
              <w:widowControl/>
              <w:autoSpaceDE/>
              <w:autoSpaceDN/>
              <w:adjustRightInd/>
              <w:spacing w:line="240" w:lineRule="auto"/>
              <w:contextualSpacing/>
              <w:jc w:val="left"/>
              <w:textAlignment w:val="auto"/>
              <w:rPr>
                <w:rFonts w:eastAsia="Calibri"/>
                <w:kern w:val="0"/>
                <w:szCs w:val="22"/>
                <w:lang w:val="id" w:eastAsia="en-ID"/>
              </w:rPr>
            </w:pPr>
            <w:r w:rsidRPr="00C952CB">
              <w:rPr>
                <w:rFonts w:eastAsia="Calibri"/>
                <w:kern w:val="0"/>
                <w:szCs w:val="22"/>
                <w:lang w:val="id" w:eastAsia="en-ID"/>
              </w:rPr>
              <w:t>&lt;18,5</w:t>
            </w:r>
          </w:p>
        </w:tc>
        <w:tc>
          <w:tcPr>
            <w:tcW w:w="888" w:type="dxa"/>
          </w:tcPr>
          <w:p w14:paraId="1BCFD918" w14:textId="77777777" w:rsidR="00C952CB" w:rsidRPr="00C952CB" w:rsidRDefault="00C952CB" w:rsidP="00C952CB">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1</w:t>
            </w:r>
          </w:p>
        </w:tc>
        <w:tc>
          <w:tcPr>
            <w:cnfStyle w:val="000100000000" w:firstRow="0" w:lastRow="0" w:firstColumn="0" w:lastColumn="1" w:oddVBand="0" w:evenVBand="0" w:oddHBand="0" w:evenHBand="0" w:firstRowFirstColumn="0" w:firstRowLastColumn="0" w:lastRowFirstColumn="0" w:lastRowLastColumn="0"/>
            <w:tcW w:w="1480" w:type="dxa"/>
          </w:tcPr>
          <w:p w14:paraId="0FC82176" w14:textId="77777777" w:rsidR="00C952CB" w:rsidRPr="00C952CB" w:rsidRDefault="00C952CB" w:rsidP="00C952CB">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0,8</w:t>
            </w:r>
          </w:p>
        </w:tc>
      </w:tr>
      <w:tr w:rsidR="00C952CB" w:rsidRPr="00C952CB" w14:paraId="3163E2AF" w14:textId="77777777" w:rsidTr="00226109">
        <w:tc>
          <w:tcPr>
            <w:tcW w:w="1785" w:type="dxa"/>
          </w:tcPr>
          <w:p w14:paraId="3ABCF9C0" w14:textId="77777777" w:rsidR="00C952CB" w:rsidRPr="00C952CB" w:rsidRDefault="00C952CB" w:rsidP="00C952CB">
            <w:pPr>
              <w:widowControl/>
              <w:autoSpaceDE/>
              <w:autoSpaceDN/>
              <w:adjustRightInd/>
              <w:spacing w:line="240" w:lineRule="auto"/>
              <w:contextualSpacing/>
              <w:jc w:val="left"/>
              <w:textAlignment w:val="auto"/>
              <w:rPr>
                <w:rFonts w:eastAsia="Calibri"/>
                <w:kern w:val="0"/>
                <w:szCs w:val="22"/>
                <w:lang w:val="id" w:eastAsia="en-ID"/>
              </w:rPr>
            </w:pPr>
            <w:r w:rsidRPr="00C952CB">
              <w:rPr>
                <w:rFonts w:eastAsia="Calibri"/>
                <w:kern w:val="0"/>
                <w:szCs w:val="22"/>
                <w:lang w:val="id" w:eastAsia="en-ID"/>
              </w:rPr>
              <w:t>18,5-22,9</w:t>
            </w:r>
          </w:p>
        </w:tc>
        <w:tc>
          <w:tcPr>
            <w:tcW w:w="888" w:type="dxa"/>
          </w:tcPr>
          <w:p w14:paraId="7EC60A48" w14:textId="77777777" w:rsidR="00C952CB" w:rsidRPr="00C952CB" w:rsidRDefault="00C952CB" w:rsidP="00C952CB">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33</w:t>
            </w:r>
          </w:p>
        </w:tc>
        <w:tc>
          <w:tcPr>
            <w:cnfStyle w:val="000100000000" w:firstRow="0" w:lastRow="0" w:firstColumn="0" w:lastColumn="1" w:oddVBand="0" w:evenVBand="0" w:oddHBand="0" w:evenHBand="0" w:firstRowFirstColumn="0" w:firstRowLastColumn="0" w:lastRowFirstColumn="0" w:lastRowLastColumn="0"/>
            <w:tcW w:w="1480" w:type="dxa"/>
          </w:tcPr>
          <w:p w14:paraId="0E857847" w14:textId="77777777" w:rsidR="00C952CB" w:rsidRPr="00C952CB" w:rsidRDefault="00C952CB" w:rsidP="00C952CB">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28,0</w:t>
            </w:r>
          </w:p>
        </w:tc>
      </w:tr>
      <w:tr w:rsidR="00C952CB" w:rsidRPr="00C952CB" w14:paraId="51C2130A" w14:textId="77777777" w:rsidTr="00226109">
        <w:tc>
          <w:tcPr>
            <w:tcW w:w="1785" w:type="dxa"/>
          </w:tcPr>
          <w:p w14:paraId="5FFC1177" w14:textId="77777777" w:rsidR="00C952CB" w:rsidRPr="00C952CB" w:rsidRDefault="00C952CB" w:rsidP="00C952CB">
            <w:pPr>
              <w:widowControl/>
              <w:autoSpaceDE/>
              <w:autoSpaceDN/>
              <w:adjustRightInd/>
              <w:spacing w:line="240" w:lineRule="auto"/>
              <w:contextualSpacing/>
              <w:jc w:val="left"/>
              <w:textAlignment w:val="auto"/>
              <w:rPr>
                <w:rFonts w:eastAsia="Calibri"/>
                <w:kern w:val="0"/>
                <w:szCs w:val="22"/>
                <w:lang w:val="id" w:eastAsia="en-ID"/>
              </w:rPr>
            </w:pPr>
            <w:r w:rsidRPr="00C952CB">
              <w:rPr>
                <w:rFonts w:eastAsia="Calibri"/>
                <w:kern w:val="0"/>
                <w:szCs w:val="22"/>
                <w:lang w:val="id" w:eastAsia="en-ID"/>
              </w:rPr>
              <w:t>23-29,9</w:t>
            </w:r>
          </w:p>
        </w:tc>
        <w:tc>
          <w:tcPr>
            <w:tcW w:w="888" w:type="dxa"/>
          </w:tcPr>
          <w:p w14:paraId="6436DD6B" w14:textId="77777777" w:rsidR="00C952CB" w:rsidRPr="00C952CB" w:rsidRDefault="00C952CB" w:rsidP="00C952CB">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63</w:t>
            </w:r>
          </w:p>
        </w:tc>
        <w:tc>
          <w:tcPr>
            <w:cnfStyle w:val="000100000000" w:firstRow="0" w:lastRow="0" w:firstColumn="0" w:lastColumn="1" w:oddVBand="0" w:evenVBand="0" w:oddHBand="0" w:evenHBand="0" w:firstRowFirstColumn="0" w:firstRowLastColumn="0" w:lastRowFirstColumn="0" w:lastRowLastColumn="0"/>
            <w:tcW w:w="1480" w:type="dxa"/>
          </w:tcPr>
          <w:p w14:paraId="27D92DE3" w14:textId="77777777" w:rsidR="00C952CB" w:rsidRPr="00C952CB" w:rsidRDefault="00C952CB" w:rsidP="00C952CB">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53,4</w:t>
            </w:r>
          </w:p>
        </w:tc>
      </w:tr>
      <w:tr w:rsidR="00C952CB" w:rsidRPr="00C952CB" w14:paraId="5CCCA8C8" w14:textId="77777777" w:rsidTr="00226109">
        <w:tc>
          <w:tcPr>
            <w:tcW w:w="1785" w:type="dxa"/>
          </w:tcPr>
          <w:p w14:paraId="1D613B9B" w14:textId="77777777" w:rsidR="00C952CB" w:rsidRPr="00C952CB" w:rsidRDefault="00C952CB" w:rsidP="00C952CB">
            <w:pPr>
              <w:widowControl/>
              <w:autoSpaceDE/>
              <w:autoSpaceDN/>
              <w:adjustRightInd/>
              <w:spacing w:line="240" w:lineRule="auto"/>
              <w:contextualSpacing/>
              <w:jc w:val="left"/>
              <w:textAlignment w:val="auto"/>
              <w:rPr>
                <w:rFonts w:eastAsia="Calibri"/>
                <w:kern w:val="0"/>
                <w:szCs w:val="22"/>
                <w:lang w:val="id" w:eastAsia="en-ID"/>
              </w:rPr>
            </w:pPr>
            <w:r w:rsidRPr="00C952CB">
              <w:rPr>
                <w:rFonts w:eastAsia="Calibri"/>
                <w:kern w:val="0"/>
                <w:szCs w:val="22"/>
                <w:lang w:val="id" w:eastAsia="en-ID"/>
              </w:rPr>
              <w:t>&gt;30</w:t>
            </w:r>
          </w:p>
        </w:tc>
        <w:tc>
          <w:tcPr>
            <w:tcW w:w="888" w:type="dxa"/>
          </w:tcPr>
          <w:p w14:paraId="36385C09" w14:textId="77777777" w:rsidR="00C952CB" w:rsidRPr="00C952CB" w:rsidRDefault="00C952CB" w:rsidP="00C952CB">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21</w:t>
            </w:r>
          </w:p>
        </w:tc>
        <w:tc>
          <w:tcPr>
            <w:cnfStyle w:val="000100000000" w:firstRow="0" w:lastRow="0" w:firstColumn="0" w:lastColumn="1" w:oddVBand="0" w:evenVBand="0" w:oddHBand="0" w:evenHBand="0" w:firstRowFirstColumn="0" w:firstRowLastColumn="0" w:lastRowFirstColumn="0" w:lastRowLastColumn="0"/>
            <w:tcW w:w="1480" w:type="dxa"/>
          </w:tcPr>
          <w:p w14:paraId="2B2F9DFC" w14:textId="77777777" w:rsidR="00C952CB" w:rsidRPr="00C952CB" w:rsidRDefault="00C952CB" w:rsidP="00C952CB">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17,8</w:t>
            </w:r>
          </w:p>
        </w:tc>
      </w:tr>
      <w:tr w:rsidR="00C952CB" w:rsidRPr="00C952CB" w14:paraId="5454E654" w14:textId="77777777" w:rsidTr="00226109">
        <w:tc>
          <w:tcPr>
            <w:tcW w:w="1785" w:type="dxa"/>
            <w:tcBorders>
              <w:top w:val="single" w:sz="4" w:space="0" w:color="auto"/>
              <w:bottom w:val="nil"/>
            </w:tcBorders>
          </w:tcPr>
          <w:p w14:paraId="3273F180" w14:textId="77777777" w:rsidR="00C952CB" w:rsidRPr="00C952CB" w:rsidRDefault="00C952CB" w:rsidP="00C952CB">
            <w:pPr>
              <w:widowControl/>
              <w:autoSpaceDE/>
              <w:autoSpaceDN/>
              <w:adjustRightInd/>
              <w:spacing w:line="240" w:lineRule="auto"/>
              <w:contextualSpacing/>
              <w:jc w:val="left"/>
              <w:textAlignment w:val="auto"/>
              <w:rPr>
                <w:rFonts w:eastAsia="Calibri"/>
                <w:b/>
                <w:bCs/>
                <w:kern w:val="0"/>
                <w:szCs w:val="22"/>
                <w:lang w:val="id" w:eastAsia="en-ID"/>
              </w:rPr>
            </w:pPr>
            <w:r w:rsidRPr="00C952CB">
              <w:rPr>
                <w:rFonts w:eastAsia="Calibri"/>
                <w:b/>
                <w:bCs/>
                <w:kern w:val="0"/>
                <w:szCs w:val="22"/>
                <w:lang w:val="id" w:eastAsia="en-ID"/>
              </w:rPr>
              <w:t>Durasi Penyakit OA</w:t>
            </w:r>
          </w:p>
        </w:tc>
        <w:tc>
          <w:tcPr>
            <w:tcW w:w="888" w:type="dxa"/>
            <w:tcBorders>
              <w:top w:val="single" w:sz="4" w:space="0" w:color="auto"/>
              <w:bottom w:val="nil"/>
            </w:tcBorders>
          </w:tcPr>
          <w:p w14:paraId="2504841C" w14:textId="77777777" w:rsidR="00C952CB" w:rsidRPr="00C952CB" w:rsidRDefault="00C952CB" w:rsidP="00C952CB">
            <w:pPr>
              <w:widowControl/>
              <w:autoSpaceDE/>
              <w:autoSpaceDN/>
              <w:adjustRightInd/>
              <w:spacing w:line="240" w:lineRule="auto"/>
              <w:contextualSpacing/>
              <w:jc w:val="center"/>
              <w:textAlignment w:val="auto"/>
              <w:rPr>
                <w:rFonts w:eastAsia="Calibri"/>
                <w:kern w:val="0"/>
                <w:szCs w:val="22"/>
                <w:lang w:val="id" w:eastAsia="en-ID"/>
              </w:rPr>
            </w:pPr>
          </w:p>
        </w:tc>
        <w:tc>
          <w:tcPr>
            <w:cnfStyle w:val="000100000000" w:firstRow="0" w:lastRow="0" w:firstColumn="0" w:lastColumn="1" w:oddVBand="0" w:evenVBand="0" w:oddHBand="0" w:evenHBand="0" w:firstRowFirstColumn="0" w:firstRowLastColumn="0" w:lastRowFirstColumn="0" w:lastRowLastColumn="0"/>
            <w:tcW w:w="1480" w:type="dxa"/>
            <w:tcBorders>
              <w:top w:val="single" w:sz="4" w:space="0" w:color="auto"/>
              <w:bottom w:val="nil"/>
            </w:tcBorders>
          </w:tcPr>
          <w:p w14:paraId="394CDA06" w14:textId="77777777" w:rsidR="00C952CB" w:rsidRPr="00C952CB" w:rsidRDefault="00C952CB" w:rsidP="00C952CB">
            <w:pPr>
              <w:widowControl/>
              <w:autoSpaceDE/>
              <w:autoSpaceDN/>
              <w:adjustRightInd/>
              <w:spacing w:line="240" w:lineRule="auto"/>
              <w:contextualSpacing/>
              <w:jc w:val="center"/>
              <w:textAlignment w:val="auto"/>
              <w:rPr>
                <w:rFonts w:eastAsia="Calibri"/>
                <w:b w:val="0"/>
                <w:bCs w:val="0"/>
                <w:kern w:val="0"/>
                <w:szCs w:val="22"/>
                <w:lang w:val="id" w:eastAsia="en-ID"/>
              </w:rPr>
            </w:pPr>
          </w:p>
        </w:tc>
      </w:tr>
      <w:tr w:rsidR="00C952CB" w:rsidRPr="00C952CB" w14:paraId="582AAA37" w14:textId="77777777" w:rsidTr="00226109">
        <w:tc>
          <w:tcPr>
            <w:tcW w:w="1785" w:type="dxa"/>
            <w:tcBorders>
              <w:top w:val="nil"/>
            </w:tcBorders>
          </w:tcPr>
          <w:p w14:paraId="58150FA9" w14:textId="77777777" w:rsidR="00C952CB" w:rsidRPr="00C952CB" w:rsidRDefault="00C952CB" w:rsidP="00C952CB">
            <w:pPr>
              <w:widowControl/>
              <w:autoSpaceDE/>
              <w:autoSpaceDN/>
              <w:adjustRightInd/>
              <w:spacing w:line="240" w:lineRule="auto"/>
              <w:contextualSpacing/>
              <w:jc w:val="left"/>
              <w:textAlignment w:val="auto"/>
              <w:rPr>
                <w:rFonts w:eastAsia="Calibri"/>
                <w:kern w:val="0"/>
                <w:szCs w:val="22"/>
                <w:lang w:val="id" w:eastAsia="en-ID"/>
              </w:rPr>
            </w:pPr>
            <w:r w:rsidRPr="00C952CB">
              <w:rPr>
                <w:rFonts w:eastAsia="Calibri"/>
                <w:kern w:val="0"/>
                <w:szCs w:val="22"/>
                <w:lang w:val="id" w:eastAsia="en-ID"/>
              </w:rPr>
              <w:t>&lt;6 bulan</w:t>
            </w:r>
          </w:p>
        </w:tc>
        <w:tc>
          <w:tcPr>
            <w:tcW w:w="888" w:type="dxa"/>
            <w:tcBorders>
              <w:top w:val="nil"/>
            </w:tcBorders>
          </w:tcPr>
          <w:p w14:paraId="3B06BCDB" w14:textId="77777777" w:rsidR="00C952CB" w:rsidRPr="00C952CB" w:rsidRDefault="00C952CB" w:rsidP="00C952CB">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27</w:t>
            </w:r>
          </w:p>
        </w:tc>
        <w:tc>
          <w:tcPr>
            <w:cnfStyle w:val="000100000000" w:firstRow="0" w:lastRow="0" w:firstColumn="0" w:lastColumn="1" w:oddVBand="0" w:evenVBand="0" w:oddHBand="0" w:evenHBand="0" w:firstRowFirstColumn="0" w:firstRowLastColumn="0" w:lastRowFirstColumn="0" w:lastRowLastColumn="0"/>
            <w:tcW w:w="1480" w:type="dxa"/>
            <w:tcBorders>
              <w:top w:val="nil"/>
            </w:tcBorders>
          </w:tcPr>
          <w:p w14:paraId="0C87FE12" w14:textId="77777777" w:rsidR="00C952CB" w:rsidRPr="00C952CB" w:rsidRDefault="00C952CB" w:rsidP="00C952CB">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22,9</w:t>
            </w:r>
          </w:p>
        </w:tc>
      </w:tr>
      <w:tr w:rsidR="00C952CB" w:rsidRPr="00C952CB" w14:paraId="09CF08FB" w14:textId="77777777" w:rsidTr="00226109">
        <w:tc>
          <w:tcPr>
            <w:tcW w:w="1785" w:type="dxa"/>
          </w:tcPr>
          <w:p w14:paraId="77D0EA3A" w14:textId="77777777" w:rsidR="00C952CB" w:rsidRPr="00C952CB" w:rsidRDefault="00C952CB" w:rsidP="00C952CB">
            <w:pPr>
              <w:widowControl/>
              <w:autoSpaceDE/>
              <w:autoSpaceDN/>
              <w:adjustRightInd/>
              <w:spacing w:line="240" w:lineRule="auto"/>
              <w:contextualSpacing/>
              <w:jc w:val="left"/>
              <w:textAlignment w:val="auto"/>
              <w:rPr>
                <w:rFonts w:eastAsia="Calibri"/>
                <w:kern w:val="0"/>
                <w:szCs w:val="22"/>
                <w:lang w:val="id" w:eastAsia="en-ID"/>
              </w:rPr>
            </w:pPr>
            <w:r w:rsidRPr="00C952CB">
              <w:rPr>
                <w:rFonts w:eastAsia="Calibri"/>
                <w:kern w:val="0"/>
                <w:szCs w:val="22"/>
                <w:lang w:val="id" w:eastAsia="en-ID"/>
              </w:rPr>
              <w:t>6-12 bulan</w:t>
            </w:r>
          </w:p>
        </w:tc>
        <w:tc>
          <w:tcPr>
            <w:tcW w:w="888" w:type="dxa"/>
          </w:tcPr>
          <w:p w14:paraId="24B6A2A4" w14:textId="77777777" w:rsidR="00C952CB" w:rsidRPr="00C952CB" w:rsidRDefault="00C952CB" w:rsidP="00C952CB">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25</w:t>
            </w:r>
          </w:p>
        </w:tc>
        <w:tc>
          <w:tcPr>
            <w:cnfStyle w:val="000100000000" w:firstRow="0" w:lastRow="0" w:firstColumn="0" w:lastColumn="1" w:oddVBand="0" w:evenVBand="0" w:oddHBand="0" w:evenHBand="0" w:firstRowFirstColumn="0" w:firstRowLastColumn="0" w:lastRowFirstColumn="0" w:lastRowLastColumn="0"/>
            <w:tcW w:w="1480" w:type="dxa"/>
          </w:tcPr>
          <w:p w14:paraId="0D8A32E4" w14:textId="77777777" w:rsidR="00C952CB" w:rsidRPr="00C952CB" w:rsidRDefault="00C952CB" w:rsidP="00C952CB">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21,2</w:t>
            </w:r>
          </w:p>
        </w:tc>
      </w:tr>
      <w:tr w:rsidR="00C952CB" w:rsidRPr="00C952CB" w14:paraId="2B190AC6" w14:textId="77777777" w:rsidTr="00226109">
        <w:tc>
          <w:tcPr>
            <w:tcW w:w="1785" w:type="dxa"/>
          </w:tcPr>
          <w:p w14:paraId="669848D8" w14:textId="77777777" w:rsidR="00C952CB" w:rsidRPr="00C952CB" w:rsidRDefault="00C952CB" w:rsidP="00C952CB">
            <w:pPr>
              <w:widowControl/>
              <w:autoSpaceDE/>
              <w:autoSpaceDN/>
              <w:adjustRightInd/>
              <w:spacing w:line="240" w:lineRule="auto"/>
              <w:contextualSpacing/>
              <w:jc w:val="left"/>
              <w:textAlignment w:val="auto"/>
              <w:rPr>
                <w:rFonts w:eastAsia="Calibri"/>
                <w:kern w:val="0"/>
                <w:szCs w:val="22"/>
                <w:lang w:val="id" w:eastAsia="en-ID"/>
              </w:rPr>
            </w:pPr>
            <w:r w:rsidRPr="00C952CB">
              <w:rPr>
                <w:rFonts w:eastAsia="Calibri"/>
                <w:kern w:val="0"/>
                <w:szCs w:val="22"/>
                <w:lang w:val="id" w:eastAsia="en-ID"/>
              </w:rPr>
              <w:t>&gt;12 bulan</w:t>
            </w:r>
          </w:p>
        </w:tc>
        <w:tc>
          <w:tcPr>
            <w:tcW w:w="888" w:type="dxa"/>
          </w:tcPr>
          <w:p w14:paraId="7B2F6121" w14:textId="77777777" w:rsidR="00C952CB" w:rsidRPr="00C952CB" w:rsidRDefault="00C952CB" w:rsidP="00C952CB">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66</w:t>
            </w:r>
          </w:p>
        </w:tc>
        <w:tc>
          <w:tcPr>
            <w:cnfStyle w:val="000100000000" w:firstRow="0" w:lastRow="0" w:firstColumn="0" w:lastColumn="1" w:oddVBand="0" w:evenVBand="0" w:oddHBand="0" w:evenHBand="0" w:firstRowFirstColumn="0" w:firstRowLastColumn="0" w:lastRowFirstColumn="0" w:lastRowLastColumn="0"/>
            <w:tcW w:w="1480" w:type="dxa"/>
          </w:tcPr>
          <w:p w14:paraId="63AE26F2" w14:textId="77777777" w:rsidR="00C952CB" w:rsidRPr="00C952CB" w:rsidRDefault="00C952CB" w:rsidP="00C952CB">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55,9</w:t>
            </w:r>
          </w:p>
        </w:tc>
      </w:tr>
      <w:tr w:rsidR="00C952CB" w:rsidRPr="00C952CB" w14:paraId="7F4698E5" w14:textId="77777777" w:rsidTr="00226109">
        <w:tc>
          <w:tcPr>
            <w:tcW w:w="1785" w:type="dxa"/>
            <w:tcBorders>
              <w:top w:val="single" w:sz="4" w:space="0" w:color="auto"/>
              <w:bottom w:val="nil"/>
            </w:tcBorders>
          </w:tcPr>
          <w:p w14:paraId="7ABF273E" w14:textId="77777777" w:rsidR="00C952CB" w:rsidRPr="00C952CB" w:rsidRDefault="00C952CB" w:rsidP="00C952CB">
            <w:pPr>
              <w:widowControl/>
              <w:autoSpaceDE/>
              <w:autoSpaceDN/>
              <w:adjustRightInd/>
              <w:spacing w:line="240" w:lineRule="auto"/>
              <w:contextualSpacing/>
              <w:jc w:val="left"/>
              <w:textAlignment w:val="auto"/>
              <w:rPr>
                <w:rFonts w:eastAsia="Calibri"/>
                <w:b/>
                <w:bCs/>
                <w:kern w:val="0"/>
                <w:szCs w:val="22"/>
                <w:lang w:val="id" w:eastAsia="en-ID"/>
              </w:rPr>
            </w:pPr>
            <w:r w:rsidRPr="00C952CB">
              <w:rPr>
                <w:rFonts w:eastAsia="Calibri"/>
                <w:b/>
                <w:bCs/>
                <w:kern w:val="0"/>
                <w:szCs w:val="22"/>
                <w:lang w:val="id" w:eastAsia="en-ID"/>
              </w:rPr>
              <w:t>Jenis Perawatan</w:t>
            </w:r>
          </w:p>
        </w:tc>
        <w:tc>
          <w:tcPr>
            <w:tcW w:w="888" w:type="dxa"/>
            <w:tcBorders>
              <w:top w:val="single" w:sz="4" w:space="0" w:color="auto"/>
              <w:bottom w:val="nil"/>
            </w:tcBorders>
          </w:tcPr>
          <w:p w14:paraId="12516326" w14:textId="77777777" w:rsidR="00C952CB" w:rsidRPr="00C952CB" w:rsidRDefault="00C952CB" w:rsidP="00C952CB">
            <w:pPr>
              <w:widowControl/>
              <w:autoSpaceDE/>
              <w:autoSpaceDN/>
              <w:adjustRightInd/>
              <w:spacing w:line="240" w:lineRule="auto"/>
              <w:contextualSpacing/>
              <w:jc w:val="center"/>
              <w:textAlignment w:val="auto"/>
              <w:rPr>
                <w:rFonts w:eastAsia="Calibri"/>
                <w:kern w:val="0"/>
                <w:szCs w:val="22"/>
                <w:lang w:val="id" w:eastAsia="en-ID"/>
              </w:rPr>
            </w:pPr>
          </w:p>
        </w:tc>
        <w:tc>
          <w:tcPr>
            <w:cnfStyle w:val="000100000000" w:firstRow="0" w:lastRow="0" w:firstColumn="0" w:lastColumn="1" w:oddVBand="0" w:evenVBand="0" w:oddHBand="0" w:evenHBand="0" w:firstRowFirstColumn="0" w:firstRowLastColumn="0" w:lastRowFirstColumn="0" w:lastRowLastColumn="0"/>
            <w:tcW w:w="1480" w:type="dxa"/>
            <w:tcBorders>
              <w:top w:val="single" w:sz="4" w:space="0" w:color="auto"/>
              <w:bottom w:val="nil"/>
            </w:tcBorders>
          </w:tcPr>
          <w:p w14:paraId="57555264" w14:textId="77777777" w:rsidR="00C952CB" w:rsidRPr="00C952CB" w:rsidRDefault="00C952CB" w:rsidP="00C952CB">
            <w:pPr>
              <w:widowControl/>
              <w:autoSpaceDE/>
              <w:autoSpaceDN/>
              <w:adjustRightInd/>
              <w:spacing w:line="240" w:lineRule="auto"/>
              <w:contextualSpacing/>
              <w:jc w:val="center"/>
              <w:textAlignment w:val="auto"/>
              <w:rPr>
                <w:rFonts w:eastAsia="Calibri"/>
                <w:b w:val="0"/>
                <w:bCs w:val="0"/>
                <w:kern w:val="0"/>
                <w:szCs w:val="22"/>
                <w:lang w:val="id" w:eastAsia="en-ID"/>
              </w:rPr>
            </w:pPr>
          </w:p>
        </w:tc>
      </w:tr>
      <w:tr w:rsidR="00C952CB" w:rsidRPr="00C952CB" w14:paraId="01A32DE8" w14:textId="77777777" w:rsidTr="00226109">
        <w:tc>
          <w:tcPr>
            <w:tcW w:w="1785" w:type="dxa"/>
            <w:tcBorders>
              <w:top w:val="nil"/>
            </w:tcBorders>
          </w:tcPr>
          <w:p w14:paraId="52648FD6" w14:textId="77777777" w:rsidR="00C952CB" w:rsidRPr="00C952CB" w:rsidRDefault="00C952CB" w:rsidP="00C952CB">
            <w:pPr>
              <w:widowControl/>
              <w:autoSpaceDE/>
              <w:autoSpaceDN/>
              <w:adjustRightInd/>
              <w:spacing w:line="240" w:lineRule="auto"/>
              <w:contextualSpacing/>
              <w:jc w:val="left"/>
              <w:textAlignment w:val="auto"/>
              <w:rPr>
                <w:rFonts w:eastAsia="Calibri"/>
                <w:kern w:val="0"/>
                <w:szCs w:val="22"/>
                <w:lang w:val="id" w:eastAsia="en-ID"/>
              </w:rPr>
            </w:pPr>
            <w:r w:rsidRPr="00C952CB">
              <w:rPr>
                <w:rFonts w:eastAsia="Calibri"/>
                <w:kern w:val="0"/>
                <w:szCs w:val="22"/>
                <w:lang w:val="id" w:eastAsia="en-ID"/>
              </w:rPr>
              <w:t>Rawat inap</w:t>
            </w:r>
          </w:p>
        </w:tc>
        <w:tc>
          <w:tcPr>
            <w:tcW w:w="888" w:type="dxa"/>
            <w:tcBorders>
              <w:top w:val="nil"/>
            </w:tcBorders>
          </w:tcPr>
          <w:p w14:paraId="76EEEE50" w14:textId="77777777" w:rsidR="00C952CB" w:rsidRPr="00C952CB" w:rsidRDefault="00C952CB" w:rsidP="00C952CB">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12</w:t>
            </w:r>
          </w:p>
        </w:tc>
        <w:tc>
          <w:tcPr>
            <w:cnfStyle w:val="000100000000" w:firstRow="0" w:lastRow="0" w:firstColumn="0" w:lastColumn="1" w:oddVBand="0" w:evenVBand="0" w:oddHBand="0" w:evenHBand="0" w:firstRowFirstColumn="0" w:firstRowLastColumn="0" w:lastRowFirstColumn="0" w:lastRowLastColumn="0"/>
            <w:tcW w:w="1480" w:type="dxa"/>
            <w:tcBorders>
              <w:top w:val="nil"/>
            </w:tcBorders>
          </w:tcPr>
          <w:p w14:paraId="473970A4" w14:textId="77777777" w:rsidR="00C952CB" w:rsidRPr="00C952CB" w:rsidRDefault="00C952CB" w:rsidP="00C952CB">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10,2</w:t>
            </w:r>
          </w:p>
        </w:tc>
      </w:tr>
      <w:tr w:rsidR="00C952CB" w:rsidRPr="00C952CB" w14:paraId="362C0130" w14:textId="77777777" w:rsidTr="00226109">
        <w:tc>
          <w:tcPr>
            <w:tcW w:w="1785" w:type="dxa"/>
          </w:tcPr>
          <w:p w14:paraId="6C24C717" w14:textId="77777777" w:rsidR="00C952CB" w:rsidRPr="00C952CB" w:rsidRDefault="00C952CB" w:rsidP="00C952CB">
            <w:pPr>
              <w:widowControl/>
              <w:autoSpaceDE/>
              <w:autoSpaceDN/>
              <w:adjustRightInd/>
              <w:spacing w:line="240" w:lineRule="auto"/>
              <w:contextualSpacing/>
              <w:jc w:val="left"/>
              <w:textAlignment w:val="auto"/>
              <w:rPr>
                <w:rFonts w:eastAsia="Calibri"/>
                <w:kern w:val="0"/>
                <w:szCs w:val="22"/>
                <w:lang w:val="id" w:eastAsia="en-ID"/>
              </w:rPr>
            </w:pPr>
            <w:r w:rsidRPr="00C952CB">
              <w:rPr>
                <w:rFonts w:eastAsia="Calibri"/>
                <w:kern w:val="0"/>
                <w:szCs w:val="22"/>
                <w:lang w:val="id" w:eastAsia="en-ID"/>
              </w:rPr>
              <w:t>Rawat jalan</w:t>
            </w:r>
          </w:p>
        </w:tc>
        <w:tc>
          <w:tcPr>
            <w:tcW w:w="888" w:type="dxa"/>
          </w:tcPr>
          <w:p w14:paraId="59F6A4D5" w14:textId="77777777" w:rsidR="00C952CB" w:rsidRPr="00C952CB" w:rsidRDefault="00C952CB" w:rsidP="00C952CB">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106</w:t>
            </w:r>
          </w:p>
        </w:tc>
        <w:tc>
          <w:tcPr>
            <w:cnfStyle w:val="000100000000" w:firstRow="0" w:lastRow="0" w:firstColumn="0" w:lastColumn="1" w:oddVBand="0" w:evenVBand="0" w:oddHBand="0" w:evenHBand="0" w:firstRowFirstColumn="0" w:firstRowLastColumn="0" w:lastRowFirstColumn="0" w:lastRowLastColumn="0"/>
            <w:tcW w:w="1480" w:type="dxa"/>
          </w:tcPr>
          <w:p w14:paraId="661E5EE9" w14:textId="77777777" w:rsidR="00C952CB" w:rsidRPr="00C952CB" w:rsidRDefault="00C952CB" w:rsidP="00C952CB">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89,8</w:t>
            </w:r>
          </w:p>
        </w:tc>
      </w:tr>
      <w:tr w:rsidR="00C952CB" w:rsidRPr="00C952CB" w14:paraId="0B658ABE" w14:textId="77777777" w:rsidTr="00226109">
        <w:tc>
          <w:tcPr>
            <w:tcW w:w="1785" w:type="dxa"/>
            <w:tcBorders>
              <w:top w:val="single" w:sz="4" w:space="0" w:color="auto"/>
              <w:bottom w:val="nil"/>
            </w:tcBorders>
          </w:tcPr>
          <w:p w14:paraId="51366188" w14:textId="77777777" w:rsidR="00C952CB" w:rsidRPr="00C952CB" w:rsidRDefault="00C952CB" w:rsidP="00C952CB">
            <w:pPr>
              <w:widowControl/>
              <w:autoSpaceDE/>
              <w:autoSpaceDN/>
              <w:adjustRightInd/>
              <w:spacing w:line="240" w:lineRule="auto"/>
              <w:contextualSpacing/>
              <w:jc w:val="left"/>
              <w:textAlignment w:val="auto"/>
              <w:rPr>
                <w:rFonts w:eastAsia="Calibri"/>
                <w:b/>
                <w:bCs/>
                <w:kern w:val="0"/>
                <w:szCs w:val="22"/>
                <w:lang w:val="id" w:eastAsia="en-ID"/>
              </w:rPr>
            </w:pPr>
            <w:r w:rsidRPr="00C952CB">
              <w:rPr>
                <w:rFonts w:eastAsia="Calibri"/>
                <w:b/>
                <w:bCs/>
                <w:kern w:val="0"/>
                <w:szCs w:val="22"/>
                <w:lang w:val="id" w:eastAsia="en-ID"/>
              </w:rPr>
              <w:t>Durasi terapi OAINS</w:t>
            </w:r>
          </w:p>
        </w:tc>
        <w:tc>
          <w:tcPr>
            <w:tcW w:w="888" w:type="dxa"/>
            <w:tcBorders>
              <w:top w:val="single" w:sz="4" w:space="0" w:color="auto"/>
              <w:bottom w:val="nil"/>
            </w:tcBorders>
          </w:tcPr>
          <w:p w14:paraId="2E48891B" w14:textId="77777777" w:rsidR="00C952CB" w:rsidRPr="00C952CB" w:rsidRDefault="00C952CB" w:rsidP="00C952CB">
            <w:pPr>
              <w:widowControl/>
              <w:autoSpaceDE/>
              <w:autoSpaceDN/>
              <w:adjustRightInd/>
              <w:spacing w:line="240" w:lineRule="auto"/>
              <w:contextualSpacing/>
              <w:jc w:val="center"/>
              <w:textAlignment w:val="auto"/>
              <w:rPr>
                <w:rFonts w:eastAsia="Calibri"/>
                <w:kern w:val="0"/>
                <w:szCs w:val="22"/>
                <w:lang w:val="id" w:eastAsia="en-ID"/>
              </w:rPr>
            </w:pPr>
          </w:p>
        </w:tc>
        <w:tc>
          <w:tcPr>
            <w:cnfStyle w:val="000100000000" w:firstRow="0" w:lastRow="0" w:firstColumn="0" w:lastColumn="1" w:oddVBand="0" w:evenVBand="0" w:oddHBand="0" w:evenHBand="0" w:firstRowFirstColumn="0" w:firstRowLastColumn="0" w:lastRowFirstColumn="0" w:lastRowLastColumn="0"/>
            <w:tcW w:w="1480" w:type="dxa"/>
            <w:tcBorders>
              <w:top w:val="single" w:sz="4" w:space="0" w:color="auto"/>
              <w:bottom w:val="nil"/>
            </w:tcBorders>
          </w:tcPr>
          <w:p w14:paraId="2FC09D76" w14:textId="77777777" w:rsidR="00C952CB" w:rsidRPr="00C952CB" w:rsidRDefault="00C952CB" w:rsidP="00C952CB">
            <w:pPr>
              <w:widowControl/>
              <w:autoSpaceDE/>
              <w:autoSpaceDN/>
              <w:adjustRightInd/>
              <w:spacing w:line="240" w:lineRule="auto"/>
              <w:contextualSpacing/>
              <w:jc w:val="center"/>
              <w:textAlignment w:val="auto"/>
              <w:rPr>
                <w:rFonts w:eastAsia="Calibri"/>
                <w:b w:val="0"/>
                <w:bCs w:val="0"/>
                <w:kern w:val="0"/>
                <w:szCs w:val="22"/>
                <w:lang w:val="id" w:eastAsia="en-ID"/>
              </w:rPr>
            </w:pPr>
          </w:p>
        </w:tc>
      </w:tr>
      <w:tr w:rsidR="00C952CB" w:rsidRPr="00C952CB" w14:paraId="6C91D939" w14:textId="77777777" w:rsidTr="00226109">
        <w:tc>
          <w:tcPr>
            <w:tcW w:w="1785" w:type="dxa"/>
            <w:tcBorders>
              <w:top w:val="nil"/>
            </w:tcBorders>
          </w:tcPr>
          <w:p w14:paraId="51884A74" w14:textId="77777777" w:rsidR="00C952CB" w:rsidRPr="00C952CB" w:rsidRDefault="00C952CB" w:rsidP="00C952CB">
            <w:pPr>
              <w:widowControl/>
              <w:autoSpaceDE/>
              <w:autoSpaceDN/>
              <w:adjustRightInd/>
              <w:spacing w:line="240" w:lineRule="auto"/>
              <w:contextualSpacing/>
              <w:jc w:val="left"/>
              <w:textAlignment w:val="auto"/>
              <w:rPr>
                <w:rFonts w:eastAsia="Calibri"/>
                <w:kern w:val="0"/>
                <w:szCs w:val="22"/>
                <w:lang w:val="id" w:eastAsia="en-ID"/>
              </w:rPr>
            </w:pPr>
            <w:r w:rsidRPr="00C952CB">
              <w:rPr>
                <w:rFonts w:eastAsia="Calibri"/>
                <w:kern w:val="0"/>
                <w:szCs w:val="22"/>
                <w:lang w:val="id" w:eastAsia="en-ID"/>
              </w:rPr>
              <w:t>&lt;2 minggu</w:t>
            </w:r>
          </w:p>
        </w:tc>
        <w:tc>
          <w:tcPr>
            <w:tcW w:w="888" w:type="dxa"/>
            <w:tcBorders>
              <w:top w:val="nil"/>
            </w:tcBorders>
          </w:tcPr>
          <w:p w14:paraId="749D1D27" w14:textId="77777777" w:rsidR="00C952CB" w:rsidRPr="00C952CB" w:rsidRDefault="00C952CB" w:rsidP="00C952CB">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21</w:t>
            </w:r>
          </w:p>
        </w:tc>
        <w:tc>
          <w:tcPr>
            <w:cnfStyle w:val="000100000000" w:firstRow="0" w:lastRow="0" w:firstColumn="0" w:lastColumn="1" w:oddVBand="0" w:evenVBand="0" w:oddHBand="0" w:evenHBand="0" w:firstRowFirstColumn="0" w:firstRowLastColumn="0" w:lastRowFirstColumn="0" w:lastRowLastColumn="0"/>
            <w:tcW w:w="1480" w:type="dxa"/>
            <w:tcBorders>
              <w:top w:val="nil"/>
            </w:tcBorders>
          </w:tcPr>
          <w:p w14:paraId="4A745947" w14:textId="77777777" w:rsidR="00C952CB" w:rsidRPr="00C952CB" w:rsidRDefault="00C952CB" w:rsidP="00C952CB">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17,8</w:t>
            </w:r>
          </w:p>
        </w:tc>
      </w:tr>
      <w:tr w:rsidR="00C952CB" w:rsidRPr="00C952CB" w14:paraId="68374F5B" w14:textId="77777777" w:rsidTr="00226109">
        <w:tc>
          <w:tcPr>
            <w:tcW w:w="1785" w:type="dxa"/>
            <w:tcBorders>
              <w:top w:val="nil"/>
            </w:tcBorders>
          </w:tcPr>
          <w:p w14:paraId="32475725" w14:textId="77777777" w:rsidR="00C952CB" w:rsidRPr="00C952CB" w:rsidRDefault="00C952CB" w:rsidP="00C952CB">
            <w:pPr>
              <w:widowControl/>
              <w:autoSpaceDE/>
              <w:autoSpaceDN/>
              <w:adjustRightInd/>
              <w:spacing w:line="240" w:lineRule="auto"/>
              <w:contextualSpacing/>
              <w:jc w:val="left"/>
              <w:textAlignment w:val="auto"/>
              <w:rPr>
                <w:rFonts w:eastAsia="Calibri"/>
                <w:kern w:val="0"/>
                <w:szCs w:val="22"/>
                <w:lang w:val="id" w:eastAsia="en-ID"/>
              </w:rPr>
            </w:pPr>
            <w:r w:rsidRPr="00C952CB">
              <w:rPr>
                <w:rFonts w:eastAsia="Calibri"/>
                <w:kern w:val="0"/>
                <w:szCs w:val="22"/>
                <w:lang w:val="id" w:eastAsia="en-ID"/>
              </w:rPr>
              <w:t>2-3 minggu</w:t>
            </w:r>
          </w:p>
        </w:tc>
        <w:tc>
          <w:tcPr>
            <w:tcW w:w="888" w:type="dxa"/>
            <w:tcBorders>
              <w:top w:val="nil"/>
            </w:tcBorders>
          </w:tcPr>
          <w:p w14:paraId="75E6EE98" w14:textId="77777777" w:rsidR="00C952CB" w:rsidRPr="00C952CB" w:rsidRDefault="00C952CB" w:rsidP="00C952CB">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4</w:t>
            </w:r>
          </w:p>
        </w:tc>
        <w:tc>
          <w:tcPr>
            <w:cnfStyle w:val="000100000000" w:firstRow="0" w:lastRow="0" w:firstColumn="0" w:lastColumn="1" w:oddVBand="0" w:evenVBand="0" w:oddHBand="0" w:evenHBand="0" w:firstRowFirstColumn="0" w:firstRowLastColumn="0" w:lastRowFirstColumn="0" w:lastRowLastColumn="0"/>
            <w:tcW w:w="1480" w:type="dxa"/>
            <w:tcBorders>
              <w:top w:val="nil"/>
            </w:tcBorders>
          </w:tcPr>
          <w:p w14:paraId="375C3A5A" w14:textId="77777777" w:rsidR="00C952CB" w:rsidRPr="00C952CB" w:rsidRDefault="00C952CB" w:rsidP="00C952CB">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3,4</w:t>
            </w:r>
          </w:p>
        </w:tc>
      </w:tr>
      <w:tr w:rsidR="00C952CB" w:rsidRPr="00C952CB" w14:paraId="7B251990" w14:textId="77777777" w:rsidTr="00226109">
        <w:tc>
          <w:tcPr>
            <w:tcW w:w="1785" w:type="dxa"/>
            <w:tcBorders>
              <w:bottom w:val="single" w:sz="4" w:space="0" w:color="auto"/>
            </w:tcBorders>
          </w:tcPr>
          <w:p w14:paraId="2CEC4CE5" w14:textId="77777777" w:rsidR="00C952CB" w:rsidRPr="00C952CB" w:rsidRDefault="00C952CB" w:rsidP="00C952CB">
            <w:pPr>
              <w:widowControl/>
              <w:autoSpaceDE/>
              <w:autoSpaceDN/>
              <w:adjustRightInd/>
              <w:spacing w:after="200" w:line="240" w:lineRule="auto"/>
              <w:jc w:val="left"/>
              <w:textAlignment w:val="auto"/>
              <w:rPr>
                <w:rFonts w:eastAsia="Calibri"/>
                <w:kern w:val="0"/>
                <w:sz w:val="22"/>
                <w:szCs w:val="22"/>
                <w:lang w:val="id" w:eastAsia="en-ID"/>
              </w:rPr>
            </w:pPr>
            <w:r w:rsidRPr="00C952CB">
              <w:rPr>
                <w:rFonts w:eastAsia="Calibri"/>
                <w:kern w:val="0"/>
                <w:sz w:val="22"/>
                <w:szCs w:val="22"/>
                <w:lang w:val="id" w:eastAsia="en-ID"/>
              </w:rPr>
              <w:t>&gt;3 minggu</w:t>
            </w:r>
          </w:p>
        </w:tc>
        <w:tc>
          <w:tcPr>
            <w:tcW w:w="888" w:type="dxa"/>
            <w:tcBorders>
              <w:bottom w:val="single" w:sz="4" w:space="0" w:color="auto"/>
            </w:tcBorders>
          </w:tcPr>
          <w:p w14:paraId="004ECA2E" w14:textId="77777777" w:rsidR="00C952CB" w:rsidRPr="00C952CB" w:rsidRDefault="00C952CB" w:rsidP="00C952CB">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93</w:t>
            </w:r>
          </w:p>
        </w:tc>
        <w:tc>
          <w:tcPr>
            <w:cnfStyle w:val="000100000000" w:firstRow="0" w:lastRow="0" w:firstColumn="0" w:lastColumn="1" w:oddVBand="0" w:evenVBand="0" w:oddHBand="0" w:evenHBand="0" w:firstRowFirstColumn="0" w:firstRowLastColumn="0" w:lastRowFirstColumn="0" w:lastRowLastColumn="0"/>
            <w:tcW w:w="1480" w:type="dxa"/>
            <w:tcBorders>
              <w:bottom w:val="single" w:sz="4" w:space="0" w:color="auto"/>
            </w:tcBorders>
          </w:tcPr>
          <w:p w14:paraId="69AF0A25" w14:textId="77777777" w:rsidR="00C952CB" w:rsidRPr="00C952CB" w:rsidRDefault="00C952CB" w:rsidP="00C952CB">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78,8</w:t>
            </w:r>
          </w:p>
        </w:tc>
      </w:tr>
      <w:tr w:rsidR="00C952CB" w:rsidRPr="00C952CB" w14:paraId="0393793B" w14:textId="77777777" w:rsidTr="00226109">
        <w:tc>
          <w:tcPr>
            <w:tcW w:w="1785" w:type="dxa"/>
            <w:tcBorders>
              <w:top w:val="single" w:sz="4" w:space="0" w:color="auto"/>
              <w:bottom w:val="nil"/>
            </w:tcBorders>
          </w:tcPr>
          <w:p w14:paraId="595295A8" w14:textId="77777777" w:rsidR="00C952CB" w:rsidRPr="00C952CB" w:rsidRDefault="00C952CB" w:rsidP="004C6810">
            <w:pPr>
              <w:widowControl/>
              <w:autoSpaceDE/>
              <w:autoSpaceDN/>
              <w:adjustRightInd/>
              <w:spacing w:line="240" w:lineRule="auto"/>
              <w:jc w:val="left"/>
              <w:textAlignment w:val="auto"/>
              <w:rPr>
                <w:rFonts w:eastAsia="Calibri"/>
                <w:b/>
                <w:bCs/>
                <w:kern w:val="0"/>
                <w:sz w:val="22"/>
                <w:szCs w:val="22"/>
                <w:lang w:val="id" w:eastAsia="en-ID"/>
              </w:rPr>
            </w:pPr>
            <w:r w:rsidRPr="00C952CB">
              <w:rPr>
                <w:rFonts w:eastAsia="Calibri"/>
                <w:b/>
                <w:bCs/>
                <w:kern w:val="0"/>
                <w:sz w:val="22"/>
                <w:szCs w:val="22"/>
                <w:lang w:val="id" w:eastAsia="en-ID"/>
              </w:rPr>
              <w:t>Terapi yang didapat</w:t>
            </w:r>
          </w:p>
        </w:tc>
        <w:tc>
          <w:tcPr>
            <w:tcW w:w="888" w:type="dxa"/>
            <w:tcBorders>
              <w:top w:val="single" w:sz="4" w:space="0" w:color="auto"/>
              <w:bottom w:val="nil"/>
            </w:tcBorders>
          </w:tcPr>
          <w:p w14:paraId="5044410C" w14:textId="77777777" w:rsidR="00C952CB" w:rsidRPr="00C952CB" w:rsidRDefault="00C952CB" w:rsidP="004C6810">
            <w:pPr>
              <w:widowControl/>
              <w:autoSpaceDE/>
              <w:autoSpaceDN/>
              <w:adjustRightInd/>
              <w:spacing w:line="240" w:lineRule="auto"/>
              <w:contextualSpacing/>
              <w:jc w:val="center"/>
              <w:textAlignment w:val="auto"/>
              <w:rPr>
                <w:rFonts w:eastAsia="Calibri"/>
                <w:kern w:val="0"/>
                <w:szCs w:val="22"/>
                <w:lang w:val="id" w:eastAsia="en-ID"/>
              </w:rPr>
            </w:pPr>
          </w:p>
        </w:tc>
        <w:tc>
          <w:tcPr>
            <w:cnfStyle w:val="000100000000" w:firstRow="0" w:lastRow="0" w:firstColumn="0" w:lastColumn="1" w:oddVBand="0" w:evenVBand="0" w:oddHBand="0" w:evenHBand="0" w:firstRowFirstColumn="0" w:firstRowLastColumn="0" w:lastRowFirstColumn="0" w:lastRowLastColumn="0"/>
            <w:tcW w:w="1480" w:type="dxa"/>
            <w:tcBorders>
              <w:top w:val="single" w:sz="4" w:space="0" w:color="auto"/>
              <w:bottom w:val="nil"/>
            </w:tcBorders>
          </w:tcPr>
          <w:p w14:paraId="65803C3A" w14:textId="77777777" w:rsidR="00C952CB" w:rsidRPr="00C952CB" w:rsidRDefault="00C952CB" w:rsidP="004C6810">
            <w:pPr>
              <w:widowControl/>
              <w:autoSpaceDE/>
              <w:autoSpaceDN/>
              <w:adjustRightInd/>
              <w:spacing w:line="240" w:lineRule="auto"/>
              <w:contextualSpacing/>
              <w:jc w:val="center"/>
              <w:textAlignment w:val="auto"/>
              <w:rPr>
                <w:rFonts w:eastAsia="Calibri"/>
                <w:b w:val="0"/>
                <w:bCs w:val="0"/>
                <w:kern w:val="0"/>
                <w:szCs w:val="22"/>
                <w:lang w:val="id" w:eastAsia="en-ID"/>
              </w:rPr>
            </w:pPr>
          </w:p>
        </w:tc>
      </w:tr>
      <w:tr w:rsidR="00C952CB" w:rsidRPr="00C952CB" w14:paraId="58F750EB" w14:textId="77777777" w:rsidTr="00226109">
        <w:tc>
          <w:tcPr>
            <w:tcW w:w="1785" w:type="dxa"/>
            <w:tcBorders>
              <w:top w:val="nil"/>
            </w:tcBorders>
          </w:tcPr>
          <w:p w14:paraId="4B9E7F16" w14:textId="77777777" w:rsidR="00C952CB" w:rsidRPr="00C952CB" w:rsidRDefault="00C952CB" w:rsidP="004C6810">
            <w:pPr>
              <w:widowControl/>
              <w:autoSpaceDE/>
              <w:autoSpaceDN/>
              <w:adjustRightInd/>
              <w:spacing w:line="240" w:lineRule="auto"/>
              <w:jc w:val="left"/>
              <w:textAlignment w:val="auto"/>
              <w:rPr>
                <w:rFonts w:eastAsia="Calibri"/>
                <w:kern w:val="0"/>
                <w:sz w:val="22"/>
                <w:szCs w:val="22"/>
                <w:lang w:val="id" w:eastAsia="en-ID"/>
              </w:rPr>
            </w:pPr>
            <w:r w:rsidRPr="00C952CB">
              <w:rPr>
                <w:rFonts w:eastAsia="Calibri"/>
                <w:kern w:val="0"/>
                <w:sz w:val="22"/>
                <w:szCs w:val="22"/>
                <w:lang w:val="id" w:eastAsia="en-ID"/>
              </w:rPr>
              <w:t>OAINS selektif</w:t>
            </w:r>
          </w:p>
        </w:tc>
        <w:tc>
          <w:tcPr>
            <w:tcW w:w="888" w:type="dxa"/>
            <w:tcBorders>
              <w:top w:val="nil"/>
            </w:tcBorders>
          </w:tcPr>
          <w:p w14:paraId="1A7E40BE" w14:textId="77777777" w:rsidR="00C952CB" w:rsidRPr="00C952CB" w:rsidRDefault="00C952CB" w:rsidP="004C6810">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74</w:t>
            </w:r>
          </w:p>
        </w:tc>
        <w:tc>
          <w:tcPr>
            <w:cnfStyle w:val="000100000000" w:firstRow="0" w:lastRow="0" w:firstColumn="0" w:lastColumn="1" w:oddVBand="0" w:evenVBand="0" w:oddHBand="0" w:evenHBand="0" w:firstRowFirstColumn="0" w:firstRowLastColumn="0" w:lastRowFirstColumn="0" w:lastRowLastColumn="0"/>
            <w:tcW w:w="1480" w:type="dxa"/>
            <w:tcBorders>
              <w:top w:val="nil"/>
            </w:tcBorders>
          </w:tcPr>
          <w:p w14:paraId="78867304" w14:textId="77777777" w:rsidR="00C952CB" w:rsidRPr="00C952CB" w:rsidRDefault="00C952CB" w:rsidP="004C6810">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62,7</w:t>
            </w:r>
          </w:p>
        </w:tc>
      </w:tr>
      <w:tr w:rsidR="00C952CB" w:rsidRPr="00C952CB" w14:paraId="06897492" w14:textId="77777777" w:rsidTr="00226109">
        <w:tc>
          <w:tcPr>
            <w:tcW w:w="1785" w:type="dxa"/>
            <w:tcBorders>
              <w:bottom w:val="single" w:sz="4" w:space="0" w:color="auto"/>
            </w:tcBorders>
          </w:tcPr>
          <w:p w14:paraId="22E839F0" w14:textId="77777777" w:rsidR="00C952CB" w:rsidRPr="00C952CB" w:rsidRDefault="00C952CB" w:rsidP="004C6810">
            <w:pPr>
              <w:widowControl/>
              <w:autoSpaceDE/>
              <w:autoSpaceDN/>
              <w:adjustRightInd/>
              <w:spacing w:line="240" w:lineRule="auto"/>
              <w:jc w:val="left"/>
              <w:textAlignment w:val="auto"/>
              <w:rPr>
                <w:rFonts w:eastAsia="Calibri"/>
                <w:kern w:val="0"/>
                <w:sz w:val="22"/>
                <w:szCs w:val="22"/>
                <w:lang w:val="id" w:eastAsia="en-ID"/>
              </w:rPr>
            </w:pPr>
            <w:r w:rsidRPr="00C952CB">
              <w:rPr>
                <w:rFonts w:eastAsia="Calibri"/>
                <w:kern w:val="0"/>
                <w:sz w:val="22"/>
                <w:szCs w:val="22"/>
                <w:lang w:val="id" w:eastAsia="en-ID"/>
              </w:rPr>
              <w:t>OAINS non selektif</w:t>
            </w:r>
          </w:p>
        </w:tc>
        <w:tc>
          <w:tcPr>
            <w:tcW w:w="888" w:type="dxa"/>
            <w:tcBorders>
              <w:bottom w:val="single" w:sz="4" w:space="0" w:color="auto"/>
            </w:tcBorders>
          </w:tcPr>
          <w:p w14:paraId="42037B9D" w14:textId="77777777" w:rsidR="00C952CB" w:rsidRPr="00C952CB" w:rsidRDefault="00C952CB" w:rsidP="004C6810">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44</w:t>
            </w:r>
          </w:p>
        </w:tc>
        <w:tc>
          <w:tcPr>
            <w:cnfStyle w:val="000100000000" w:firstRow="0" w:lastRow="0" w:firstColumn="0" w:lastColumn="1" w:oddVBand="0" w:evenVBand="0" w:oddHBand="0" w:evenHBand="0" w:firstRowFirstColumn="0" w:firstRowLastColumn="0" w:lastRowFirstColumn="0" w:lastRowLastColumn="0"/>
            <w:tcW w:w="1480" w:type="dxa"/>
            <w:tcBorders>
              <w:bottom w:val="single" w:sz="4" w:space="0" w:color="auto"/>
            </w:tcBorders>
          </w:tcPr>
          <w:p w14:paraId="1AA9FE32" w14:textId="77777777" w:rsidR="00C952CB" w:rsidRPr="00C952CB" w:rsidRDefault="00C952CB" w:rsidP="004C6810">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37,3</w:t>
            </w:r>
          </w:p>
        </w:tc>
      </w:tr>
      <w:tr w:rsidR="00C952CB" w:rsidRPr="00C952CB" w14:paraId="5C6F7975" w14:textId="77777777" w:rsidTr="00226109">
        <w:tc>
          <w:tcPr>
            <w:tcW w:w="1785" w:type="dxa"/>
            <w:tcBorders>
              <w:top w:val="single" w:sz="4" w:space="0" w:color="auto"/>
              <w:bottom w:val="nil"/>
            </w:tcBorders>
          </w:tcPr>
          <w:p w14:paraId="6249C58D" w14:textId="77777777" w:rsidR="00C952CB" w:rsidRPr="00C952CB" w:rsidRDefault="00C952CB" w:rsidP="004C6810">
            <w:pPr>
              <w:widowControl/>
              <w:autoSpaceDE/>
              <w:autoSpaceDN/>
              <w:adjustRightInd/>
              <w:spacing w:line="240" w:lineRule="auto"/>
              <w:jc w:val="left"/>
              <w:textAlignment w:val="auto"/>
              <w:rPr>
                <w:rFonts w:eastAsia="Calibri"/>
                <w:b/>
                <w:bCs/>
                <w:kern w:val="0"/>
                <w:sz w:val="22"/>
                <w:szCs w:val="22"/>
                <w:lang w:val="id" w:eastAsia="en-ID"/>
              </w:rPr>
            </w:pPr>
            <w:r w:rsidRPr="00C952CB">
              <w:rPr>
                <w:rFonts w:eastAsia="Calibri"/>
                <w:b/>
                <w:bCs/>
                <w:kern w:val="0"/>
                <w:sz w:val="22"/>
                <w:szCs w:val="22"/>
                <w:lang w:val="id" w:eastAsia="en-ID"/>
              </w:rPr>
              <w:t>Komorbid</w:t>
            </w:r>
          </w:p>
        </w:tc>
        <w:tc>
          <w:tcPr>
            <w:tcW w:w="888" w:type="dxa"/>
            <w:tcBorders>
              <w:top w:val="single" w:sz="4" w:space="0" w:color="auto"/>
              <w:bottom w:val="nil"/>
            </w:tcBorders>
          </w:tcPr>
          <w:p w14:paraId="432C9B1F" w14:textId="77777777" w:rsidR="00C952CB" w:rsidRPr="00C952CB" w:rsidRDefault="00C952CB" w:rsidP="004C6810">
            <w:pPr>
              <w:widowControl/>
              <w:autoSpaceDE/>
              <w:autoSpaceDN/>
              <w:adjustRightInd/>
              <w:spacing w:line="240" w:lineRule="auto"/>
              <w:contextualSpacing/>
              <w:jc w:val="center"/>
              <w:textAlignment w:val="auto"/>
              <w:rPr>
                <w:rFonts w:eastAsia="Calibri"/>
                <w:kern w:val="0"/>
                <w:szCs w:val="22"/>
                <w:lang w:val="id" w:eastAsia="en-ID"/>
              </w:rPr>
            </w:pPr>
          </w:p>
        </w:tc>
        <w:tc>
          <w:tcPr>
            <w:cnfStyle w:val="000100000000" w:firstRow="0" w:lastRow="0" w:firstColumn="0" w:lastColumn="1" w:oddVBand="0" w:evenVBand="0" w:oddHBand="0" w:evenHBand="0" w:firstRowFirstColumn="0" w:firstRowLastColumn="0" w:lastRowFirstColumn="0" w:lastRowLastColumn="0"/>
            <w:tcW w:w="1480" w:type="dxa"/>
            <w:tcBorders>
              <w:top w:val="single" w:sz="4" w:space="0" w:color="auto"/>
              <w:bottom w:val="nil"/>
            </w:tcBorders>
          </w:tcPr>
          <w:p w14:paraId="2147D97E" w14:textId="77777777" w:rsidR="00C952CB" w:rsidRPr="00C952CB" w:rsidRDefault="00C952CB" w:rsidP="004C6810">
            <w:pPr>
              <w:widowControl/>
              <w:autoSpaceDE/>
              <w:autoSpaceDN/>
              <w:adjustRightInd/>
              <w:spacing w:line="240" w:lineRule="auto"/>
              <w:contextualSpacing/>
              <w:jc w:val="center"/>
              <w:textAlignment w:val="auto"/>
              <w:rPr>
                <w:rFonts w:eastAsia="Calibri"/>
                <w:b w:val="0"/>
                <w:bCs w:val="0"/>
                <w:kern w:val="0"/>
                <w:szCs w:val="22"/>
                <w:lang w:val="id" w:eastAsia="en-ID"/>
              </w:rPr>
            </w:pPr>
          </w:p>
        </w:tc>
      </w:tr>
      <w:tr w:rsidR="00C952CB" w:rsidRPr="00C952CB" w14:paraId="149494DB" w14:textId="77777777" w:rsidTr="00226109">
        <w:tc>
          <w:tcPr>
            <w:tcW w:w="1785" w:type="dxa"/>
            <w:tcBorders>
              <w:top w:val="nil"/>
            </w:tcBorders>
          </w:tcPr>
          <w:p w14:paraId="3B9370AB" w14:textId="77777777" w:rsidR="00C952CB" w:rsidRPr="00C952CB" w:rsidRDefault="00C952CB" w:rsidP="004C6810">
            <w:pPr>
              <w:widowControl/>
              <w:autoSpaceDE/>
              <w:autoSpaceDN/>
              <w:adjustRightInd/>
              <w:spacing w:line="240" w:lineRule="auto"/>
              <w:jc w:val="left"/>
              <w:textAlignment w:val="auto"/>
              <w:rPr>
                <w:rFonts w:eastAsia="Calibri"/>
                <w:kern w:val="0"/>
                <w:sz w:val="22"/>
                <w:szCs w:val="22"/>
                <w:lang w:val="id" w:eastAsia="en-ID"/>
              </w:rPr>
            </w:pPr>
            <w:r w:rsidRPr="00C952CB">
              <w:rPr>
                <w:rFonts w:eastAsia="Calibri"/>
                <w:kern w:val="0"/>
                <w:sz w:val="22"/>
                <w:szCs w:val="22"/>
                <w:lang w:val="id" w:eastAsia="en-ID"/>
              </w:rPr>
              <w:t>Tidak ada komorbid</w:t>
            </w:r>
          </w:p>
        </w:tc>
        <w:tc>
          <w:tcPr>
            <w:tcW w:w="888" w:type="dxa"/>
            <w:tcBorders>
              <w:top w:val="nil"/>
            </w:tcBorders>
          </w:tcPr>
          <w:p w14:paraId="225630EE" w14:textId="77777777" w:rsidR="00C952CB" w:rsidRPr="00C952CB" w:rsidRDefault="00C952CB" w:rsidP="004C6810">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64</w:t>
            </w:r>
          </w:p>
        </w:tc>
        <w:tc>
          <w:tcPr>
            <w:cnfStyle w:val="000100000000" w:firstRow="0" w:lastRow="0" w:firstColumn="0" w:lastColumn="1" w:oddVBand="0" w:evenVBand="0" w:oddHBand="0" w:evenHBand="0" w:firstRowFirstColumn="0" w:firstRowLastColumn="0" w:lastRowFirstColumn="0" w:lastRowLastColumn="0"/>
            <w:tcW w:w="1480" w:type="dxa"/>
            <w:tcBorders>
              <w:top w:val="nil"/>
            </w:tcBorders>
          </w:tcPr>
          <w:p w14:paraId="5F9FE803" w14:textId="77777777" w:rsidR="00C952CB" w:rsidRPr="00C952CB" w:rsidRDefault="00C952CB" w:rsidP="004C6810">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54,2</w:t>
            </w:r>
          </w:p>
        </w:tc>
      </w:tr>
      <w:tr w:rsidR="00C952CB" w:rsidRPr="00C952CB" w14:paraId="13ACCFA3" w14:textId="77777777" w:rsidTr="00226109">
        <w:tc>
          <w:tcPr>
            <w:tcW w:w="1785" w:type="dxa"/>
          </w:tcPr>
          <w:p w14:paraId="231F6044" w14:textId="77777777" w:rsidR="00C952CB" w:rsidRPr="00C952CB" w:rsidRDefault="00C952CB" w:rsidP="004C6810">
            <w:pPr>
              <w:widowControl/>
              <w:autoSpaceDE/>
              <w:autoSpaceDN/>
              <w:adjustRightInd/>
              <w:spacing w:line="240" w:lineRule="auto"/>
              <w:jc w:val="left"/>
              <w:textAlignment w:val="auto"/>
              <w:rPr>
                <w:rFonts w:eastAsia="Calibri"/>
                <w:kern w:val="0"/>
                <w:sz w:val="22"/>
                <w:szCs w:val="22"/>
                <w:lang w:val="id" w:eastAsia="en-ID"/>
              </w:rPr>
            </w:pPr>
            <w:r w:rsidRPr="00C952CB">
              <w:rPr>
                <w:rFonts w:eastAsia="Calibri"/>
                <w:kern w:val="0"/>
                <w:sz w:val="22"/>
                <w:szCs w:val="22"/>
                <w:lang w:val="id" w:eastAsia="en-ID"/>
              </w:rPr>
              <w:t>Hipertensi</w:t>
            </w:r>
          </w:p>
        </w:tc>
        <w:tc>
          <w:tcPr>
            <w:tcW w:w="888" w:type="dxa"/>
          </w:tcPr>
          <w:p w14:paraId="05BCC7DB" w14:textId="77777777" w:rsidR="00C952CB" w:rsidRPr="00C952CB" w:rsidRDefault="00C952CB" w:rsidP="004C6810">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24</w:t>
            </w:r>
          </w:p>
        </w:tc>
        <w:tc>
          <w:tcPr>
            <w:cnfStyle w:val="000100000000" w:firstRow="0" w:lastRow="0" w:firstColumn="0" w:lastColumn="1" w:oddVBand="0" w:evenVBand="0" w:oddHBand="0" w:evenHBand="0" w:firstRowFirstColumn="0" w:firstRowLastColumn="0" w:lastRowFirstColumn="0" w:lastRowLastColumn="0"/>
            <w:tcW w:w="1480" w:type="dxa"/>
          </w:tcPr>
          <w:p w14:paraId="364BC40C" w14:textId="77777777" w:rsidR="00C952CB" w:rsidRPr="00C952CB" w:rsidRDefault="00C952CB" w:rsidP="004C6810">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20,3</w:t>
            </w:r>
          </w:p>
        </w:tc>
      </w:tr>
      <w:tr w:rsidR="00C952CB" w:rsidRPr="00C952CB" w14:paraId="3D865862" w14:textId="77777777" w:rsidTr="00226109">
        <w:tc>
          <w:tcPr>
            <w:tcW w:w="1785" w:type="dxa"/>
          </w:tcPr>
          <w:p w14:paraId="67A65A6F" w14:textId="77777777" w:rsidR="00C952CB" w:rsidRPr="00C952CB" w:rsidRDefault="00C952CB" w:rsidP="004C6810">
            <w:pPr>
              <w:widowControl/>
              <w:autoSpaceDE/>
              <w:autoSpaceDN/>
              <w:adjustRightInd/>
              <w:spacing w:line="240" w:lineRule="auto"/>
              <w:jc w:val="left"/>
              <w:textAlignment w:val="auto"/>
              <w:rPr>
                <w:rFonts w:eastAsia="Calibri"/>
                <w:kern w:val="0"/>
                <w:sz w:val="22"/>
                <w:szCs w:val="22"/>
                <w:lang w:val="id" w:eastAsia="en-ID"/>
              </w:rPr>
            </w:pPr>
            <w:r w:rsidRPr="00C952CB">
              <w:rPr>
                <w:rFonts w:eastAsia="Calibri"/>
                <w:kern w:val="0"/>
                <w:sz w:val="22"/>
                <w:szCs w:val="22"/>
                <w:lang w:val="id" w:eastAsia="en-ID"/>
              </w:rPr>
              <w:t>DM</w:t>
            </w:r>
          </w:p>
        </w:tc>
        <w:tc>
          <w:tcPr>
            <w:tcW w:w="888" w:type="dxa"/>
          </w:tcPr>
          <w:p w14:paraId="73E83355" w14:textId="77777777" w:rsidR="00C952CB" w:rsidRPr="00C952CB" w:rsidRDefault="00C952CB" w:rsidP="004C6810">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11</w:t>
            </w:r>
          </w:p>
        </w:tc>
        <w:tc>
          <w:tcPr>
            <w:cnfStyle w:val="000100000000" w:firstRow="0" w:lastRow="0" w:firstColumn="0" w:lastColumn="1" w:oddVBand="0" w:evenVBand="0" w:oddHBand="0" w:evenHBand="0" w:firstRowFirstColumn="0" w:firstRowLastColumn="0" w:lastRowFirstColumn="0" w:lastRowLastColumn="0"/>
            <w:tcW w:w="1480" w:type="dxa"/>
          </w:tcPr>
          <w:p w14:paraId="2E062A02" w14:textId="77777777" w:rsidR="00C952CB" w:rsidRPr="00C952CB" w:rsidRDefault="00C952CB" w:rsidP="004C6810">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9,3</w:t>
            </w:r>
          </w:p>
        </w:tc>
      </w:tr>
      <w:tr w:rsidR="00C952CB" w:rsidRPr="00C952CB" w14:paraId="4A0C4C60" w14:textId="77777777" w:rsidTr="00226109">
        <w:tc>
          <w:tcPr>
            <w:tcW w:w="1785" w:type="dxa"/>
          </w:tcPr>
          <w:p w14:paraId="65F97048" w14:textId="77777777" w:rsidR="00C952CB" w:rsidRPr="00C952CB" w:rsidRDefault="00C952CB" w:rsidP="00C952CB">
            <w:pPr>
              <w:widowControl/>
              <w:autoSpaceDE/>
              <w:autoSpaceDN/>
              <w:adjustRightInd/>
              <w:spacing w:after="200" w:line="240" w:lineRule="auto"/>
              <w:jc w:val="left"/>
              <w:textAlignment w:val="auto"/>
              <w:rPr>
                <w:rFonts w:eastAsia="Calibri"/>
                <w:kern w:val="0"/>
                <w:sz w:val="22"/>
                <w:szCs w:val="22"/>
                <w:lang w:val="id" w:eastAsia="en-ID"/>
              </w:rPr>
            </w:pPr>
            <w:r w:rsidRPr="00C952CB">
              <w:rPr>
                <w:rFonts w:eastAsia="Calibri"/>
                <w:kern w:val="0"/>
                <w:sz w:val="22"/>
                <w:szCs w:val="22"/>
                <w:lang w:val="id" w:eastAsia="en-ID"/>
              </w:rPr>
              <w:t>IHD</w:t>
            </w:r>
          </w:p>
        </w:tc>
        <w:tc>
          <w:tcPr>
            <w:tcW w:w="888" w:type="dxa"/>
          </w:tcPr>
          <w:p w14:paraId="2D555B57" w14:textId="77777777" w:rsidR="00C952CB" w:rsidRPr="00C952CB" w:rsidRDefault="00C952CB" w:rsidP="00C952CB">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7</w:t>
            </w:r>
          </w:p>
        </w:tc>
        <w:tc>
          <w:tcPr>
            <w:cnfStyle w:val="000100000000" w:firstRow="0" w:lastRow="0" w:firstColumn="0" w:lastColumn="1" w:oddVBand="0" w:evenVBand="0" w:oddHBand="0" w:evenHBand="0" w:firstRowFirstColumn="0" w:firstRowLastColumn="0" w:lastRowFirstColumn="0" w:lastRowLastColumn="0"/>
            <w:tcW w:w="1480" w:type="dxa"/>
          </w:tcPr>
          <w:p w14:paraId="3E9DE2A3" w14:textId="77777777" w:rsidR="00C952CB" w:rsidRPr="00C952CB" w:rsidRDefault="00C952CB" w:rsidP="00C952CB">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5,9</w:t>
            </w:r>
          </w:p>
        </w:tc>
      </w:tr>
      <w:tr w:rsidR="00C952CB" w:rsidRPr="00C952CB" w14:paraId="62D3FB48" w14:textId="77777777" w:rsidTr="00226109">
        <w:tc>
          <w:tcPr>
            <w:tcW w:w="1785" w:type="dxa"/>
          </w:tcPr>
          <w:p w14:paraId="54DACB73" w14:textId="77777777" w:rsidR="00C952CB" w:rsidRPr="00C952CB" w:rsidRDefault="00C952CB" w:rsidP="004C6810">
            <w:pPr>
              <w:widowControl/>
              <w:autoSpaceDE/>
              <w:autoSpaceDN/>
              <w:adjustRightInd/>
              <w:spacing w:line="240" w:lineRule="auto"/>
              <w:jc w:val="left"/>
              <w:textAlignment w:val="auto"/>
              <w:rPr>
                <w:rFonts w:eastAsia="Calibri"/>
                <w:kern w:val="0"/>
                <w:sz w:val="22"/>
                <w:szCs w:val="22"/>
                <w:lang w:val="id" w:eastAsia="en-ID"/>
              </w:rPr>
            </w:pPr>
            <w:r w:rsidRPr="00C952CB">
              <w:rPr>
                <w:rFonts w:eastAsia="Calibri"/>
                <w:kern w:val="0"/>
                <w:sz w:val="22"/>
                <w:szCs w:val="22"/>
                <w:lang w:val="id" w:eastAsia="en-ID"/>
              </w:rPr>
              <w:t>HIV</w:t>
            </w:r>
          </w:p>
        </w:tc>
        <w:tc>
          <w:tcPr>
            <w:tcW w:w="888" w:type="dxa"/>
          </w:tcPr>
          <w:p w14:paraId="68BBED0A" w14:textId="77777777" w:rsidR="00C952CB" w:rsidRPr="00C952CB" w:rsidRDefault="00C952CB" w:rsidP="004C6810">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1</w:t>
            </w:r>
          </w:p>
        </w:tc>
        <w:tc>
          <w:tcPr>
            <w:cnfStyle w:val="000100000000" w:firstRow="0" w:lastRow="0" w:firstColumn="0" w:lastColumn="1" w:oddVBand="0" w:evenVBand="0" w:oddHBand="0" w:evenHBand="0" w:firstRowFirstColumn="0" w:firstRowLastColumn="0" w:lastRowFirstColumn="0" w:lastRowLastColumn="0"/>
            <w:tcW w:w="1480" w:type="dxa"/>
          </w:tcPr>
          <w:p w14:paraId="0C8198EA" w14:textId="77777777" w:rsidR="00C952CB" w:rsidRPr="00C952CB" w:rsidRDefault="00C952CB" w:rsidP="004C6810">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0,8</w:t>
            </w:r>
          </w:p>
        </w:tc>
      </w:tr>
      <w:tr w:rsidR="00C952CB" w:rsidRPr="00C952CB" w14:paraId="1D70BDE7" w14:textId="77777777" w:rsidTr="00226109">
        <w:tc>
          <w:tcPr>
            <w:tcW w:w="1785" w:type="dxa"/>
          </w:tcPr>
          <w:p w14:paraId="795BF4C9" w14:textId="77777777" w:rsidR="00C952CB" w:rsidRPr="00C952CB" w:rsidRDefault="00C952CB" w:rsidP="004C6810">
            <w:pPr>
              <w:widowControl/>
              <w:autoSpaceDE/>
              <w:autoSpaceDN/>
              <w:adjustRightInd/>
              <w:spacing w:line="240" w:lineRule="auto"/>
              <w:jc w:val="left"/>
              <w:textAlignment w:val="auto"/>
              <w:rPr>
                <w:rFonts w:eastAsia="Calibri"/>
                <w:kern w:val="0"/>
                <w:sz w:val="22"/>
                <w:szCs w:val="22"/>
                <w:lang w:val="id" w:eastAsia="en-ID"/>
              </w:rPr>
            </w:pPr>
            <w:r w:rsidRPr="00C952CB">
              <w:rPr>
                <w:rFonts w:eastAsia="Calibri"/>
                <w:kern w:val="0"/>
                <w:sz w:val="22"/>
                <w:szCs w:val="22"/>
                <w:lang w:val="id" w:eastAsia="en-ID"/>
              </w:rPr>
              <w:t>Batu ginjal</w:t>
            </w:r>
          </w:p>
        </w:tc>
        <w:tc>
          <w:tcPr>
            <w:tcW w:w="888" w:type="dxa"/>
          </w:tcPr>
          <w:p w14:paraId="57CAB7FB" w14:textId="77777777" w:rsidR="00C952CB" w:rsidRPr="00C952CB" w:rsidRDefault="00C952CB" w:rsidP="004C6810">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4</w:t>
            </w:r>
          </w:p>
        </w:tc>
        <w:tc>
          <w:tcPr>
            <w:cnfStyle w:val="000100000000" w:firstRow="0" w:lastRow="0" w:firstColumn="0" w:lastColumn="1" w:oddVBand="0" w:evenVBand="0" w:oddHBand="0" w:evenHBand="0" w:firstRowFirstColumn="0" w:firstRowLastColumn="0" w:lastRowFirstColumn="0" w:lastRowLastColumn="0"/>
            <w:tcW w:w="1480" w:type="dxa"/>
          </w:tcPr>
          <w:p w14:paraId="170106DB" w14:textId="77777777" w:rsidR="00C952CB" w:rsidRPr="00C952CB" w:rsidRDefault="00C952CB" w:rsidP="004C6810">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3,4</w:t>
            </w:r>
          </w:p>
        </w:tc>
      </w:tr>
      <w:tr w:rsidR="00C952CB" w:rsidRPr="00C952CB" w14:paraId="0019148E" w14:textId="77777777" w:rsidTr="00226109">
        <w:tc>
          <w:tcPr>
            <w:tcW w:w="1785" w:type="dxa"/>
          </w:tcPr>
          <w:p w14:paraId="0931FF31" w14:textId="77777777" w:rsidR="00C952CB" w:rsidRPr="00C952CB" w:rsidRDefault="00C952CB" w:rsidP="004C6810">
            <w:pPr>
              <w:widowControl/>
              <w:autoSpaceDE/>
              <w:autoSpaceDN/>
              <w:adjustRightInd/>
              <w:spacing w:line="240" w:lineRule="auto"/>
              <w:jc w:val="left"/>
              <w:textAlignment w:val="auto"/>
              <w:rPr>
                <w:rFonts w:eastAsia="Calibri"/>
                <w:kern w:val="0"/>
                <w:sz w:val="22"/>
                <w:szCs w:val="22"/>
                <w:lang w:val="id" w:eastAsia="en-ID"/>
              </w:rPr>
            </w:pPr>
            <w:r w:rsidRPr="00C952CB">
              <w:rPr>
                <w:rFonts w:eastAsia="Calibri"/>
                <w:kern w:val="0"/>
                <w:sz w:val="22"/>
                <w:szCs w:val="22"/>
                <w:lang w:val="id" w:eastAsia="en-ID"/>
              </w:rPr>
              <w:t>Stroke</w:t>
            </w:r>
          </w:p>
        </w:tc>
        <w:tc>
          <w:tcPr>
            <w:tcW w:w="888" w:type="dxa"/>
          </w:tcPr>
          <w:p w14:paraId="5E17BE16" w14:textId="77777777" w:rsidR="00C952CB" w:rsidRPr="00C952CB" w:rsidRDefault="00C952CB" w:rsidP="004C6810">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5</w:t>
            </w:r>
          </w:p>
        </w:tc>
        <w:tc>
          <w:tcPr>
            <w:cnfStyle w:val="000100000000" w:firstRow="0" w:lastRow="0" w:firstColumn="0" w:lastColumn="1" w:oddVBand="0" w:evenVBand="0" w:oddHBand="0" w:evenHBand="0" w:firstRowFirstColumn="0" w:firstRowLastColumn="0" w:lastRowFirstColumn="0" w:lastRowLastColumn="0"/>
            <w:tcW w:w="1480" w:type="dxa"/>
          </w:tcPr>
          <w:p w14:paraId="4FE4302D" w14:textId="77777777" w:rsidR="00C952CB" w:rsidRPr="00C952CB" w:rsidRDefault="00C952CB" w:rsidP="004C6810">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4,2</w:t>
            </w:r>
          </w:p>
        </w:tc>
      </w:tr>
      <w:tr w:rsidR="00C952CB" w:rsidRPr="00C952CB" w14:paraId="2CC5463C" w14:textId="77777777" w:rsidTr="00226109">
        <w:tc>
          <w:tcPr>
            <w:tcW w:w="1785" w:type="dxa"/>
          </w:tcPr>
          <w:p w14:paraId="5D3635C5" w14:textId="77777777" w:rsidR="00C952CB" w:rsidRPr="00C952CB" w:rsidRDefault="00C952CB" w:rsidP="004C6810">
            <w:pPr>
              <w:widowControl/>
              <w:autoSpaceDE/>
              <w:autoSpaceDN/>
              <w:adjustRightInd/>
              <w:spacing w:line="240" w:lineRule="auto"/>
              <w:jc w:val="left"/>
              <w:textAlignment w:val="auto"/>
              <w:rPr>
                <w:rFonts w:eastAsia="Calibri"/>
                <w:kern w:val="0"/>
                <w:sz w:val="22"/>
                <w:szCs w:val="22"/>
                <w:lang w:val="id" w:eastAsia="en-ID"/>
              </w:rPr>
            </w:pPr>
            <w:r w:rsidRPr="00C952CB">
              <w:rPr>
                <w:rFonts w:eastAsia="Calibri"/>
                <w:kern w:val="0"/>
                <w:sz w:val="22"/>
                <w:szCs w:val="22"/>
                <w:lang w:val="id" w:eastAsia="en-ID"/>
              </w:rPr>
              <w:lastRenderedPageBreak/>
              <w:t>Dispepsia</w:t>
            </w:r>
          </w:p>
        </w:tc>
        <w:tc>
          <w:tcPr>
            <w:tcW w:w="888" w:type="dxa"/>
          </w:tcPr>
          <w:p w14:paraId="03B9AA87" w14:textId="77777777" w:rsidR="00C952CB" w:rsidRPr="00C952CB" w:rsidRDefault="00C952CB" w:rsidP="004C6810">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1</w:t>
            </w:r>
          </w:p>
        </w:tc>
        <w:tc>
          <w:tcPr>
            <w:cnfStyle w:val="000100000000" w:firstRow="0" w:lastRow="0" w:firstColumn="0" w:lastColumn="1" w:oddVBand="0" w:evenVBand="0" w:oddHBand="0" w:evenHBand="0" w:firstRowFirstColumn="0" w:firstRowLastColumn="0" w:lastRowFirstColumn="0" w:lastRowLastColumn="0"/>
            <w:tcW w:w="1480" w:type="dxa"/>
          </w:tcPr>
          <w:p w14:paraId="04CFA3A3" w14:textId="77777777" w:rsidR="00C952CB" w:rsidRPr="00C952CB" w:rsidRDefault="00C952CB" w:rsidP="004C6810">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0,8</w:t>
            </w:r>
          </w:p>
        </w:tc>
      </w:tr>
      <w:tr w:rsidR="00C952CB" w:rsidRPr="00C952CB" w14:paraId="71F51839" w14:textId="77777777" w:rsidTr="00226109">
        <w:tc>
          <w:tcPr>
            <w:tcW w:w="1785" w:type="dxa"/>
            <w:tcBorders>
              <w:bottom w:val="single" w:sz="4" w:space="0" w:color="auto"/>
            </w:tcBorders>
          </w:tcPr>
          <w:p w14:paraId="2724311B" w14:textId="77777777" w:rsidR="00C952CB" w:rsidRPr="00C952CB" w:rsidRDefault="00C952CB" w:rsidP="004C6810">
            <w:pPr>
              <w:widowControl/>
              <w:autoSpaceDE/>
              <w:autoSpaceDN/>
              <w:adjustRightInd/>
              <w:spacing w:line="240" w:lineRule="auto"/>
              <w:jc w:val="left"/>
              <w:textAlignment w:val="auto"/>
              <w:rPr>
                <w:rFonts w:eastAsia="Calibri"/>
                <w:kern w:val="0"/>
                <w:sz w:val="22"/>
                <w:szCs w:val="22"/>
                <w:lang w:val="id" w:eastAsia="en-ID"/>
              </w:rPr>
            </w:pPr>
            <w:r w:rsidRPr="00C952CB">
              <w:rPr>
                <w:rFonts w:eastAsia="Calibri"/>
                <w:kern w:val="0"/>
                <w:sz w:val="22"/>
                <w:szCs w:val="22"/>
                <w:lang w:val="id" w:eastAsia="en-ID"/>
              </w:rPr>
              <w:t>Gastroparesis</w:t>
            </w:r>
          </w:p>
        </w:tc>
        <w:tc>
          <w:tcPr>
            <w:tcW w:w="888" w:type="dxa"/>
            <w:tcBorders>
              <w:bottom w:val="single" w:sz="4" w:space="0" w:color="auto"/>
            </w:tcBorders>
          </w:tcPr>
          <w:p w14:paraId="327CB353" w14:textId="77777777" w:rsidR="00C952CB" w:rsidRPr="00C952CB" w:rsidRDefault="00C952CB" w:rsidP="004C6810">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1</w:t>
            </w:r>
          </w:p>
        </w:tc>
        <w:tc>
          <w:tcPr>
            <w:cnfStyle w:val="000100000000" w:firstRow="0" w:lastRow="0" w:firstColumn="0" w:lastColumn="1" w:oddVBand="0" w:evenVBand="0" w:oddHBand="0" w:evenHBand="0" w:firstRowFirstColumn="0" w:firstRowLastColumn="0" w:lastRowFirstColumn="0" w:lastRowLastColumn="0"/>
            <w:tcW w:w="1480" w:type="dxa"/>
            <w:tcBorders>
              <w:bottom w:val="single" w:sz="4" w:space="0" w:color="auto"/>
            </w:tcBorders>
          </w:tcPr>
          <w:p w14:paraId="74F83ACF" w14:textId="77777777" w:rsidR="00C952CB" w:rsidRPr="00C952CB" w:rsidRDefault="00C952CB" w:rsidP="004C6810">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0,8</w:t>
            </w:r>
          </w:p>
        </w:tc>
      </w:tr>
      <w:tr w:rsidR="00C952CB" w:rsidRPr="00C952CB" w14:paraId="4BFF264B" w14:textId="77777777" w:rsidTr="00226109">
        <w:tc>
          <w:tcPr>
            <w:tcW w:w="1785" w:type="dxa"/>
            <w:tcBorders>
              <w:top w:val="single" w:sz="4" w:space="0" w:color="auto"/>
              <w:bottom w:val="nil"/>
            </w:tcBorders>
          </w:tcPr>
          <w:p w14:paraId="62AF3AD1" w14:textId="77777777" w:rsidR="00C952CB" w:rsidRPr="00C952CB" w:rsidRDefault="00C952CB" w:rsidP="004C6810">
            <w:pPr>
              <w:widowControl/>
              <w:autoSpaceDE/>
              <w:autoSpaceDN/>
              <w:adjustRightInd/>
              <w:spacing w:line="240" w:lineRule="auto"/>
              <w:jc w:val="left"/>
              <w:textAlignment w:val="auto"/>
              <w:rPr>
                <w:rFonts w:eastAsia="Calibri"/>
                <w:b/>
                <w:bCs/>
                <w:kern w:val="0"/>
                <w:sz w:val="22"/>
                <w:szCs w:val="22"/>
                <w:lang w:val="id" w:eastAsia="en-ID"/>
              </w:rPr>
            </w:pPr>
            <w:r w:rsidRPr="00C952CB">
              <w:rPr>
                <w:rFonts w:eastAsia="Calibri"/>
                <w:b/>
                <w:bCs/>
                <w:kern w:val="0"/>
                <w:sz w:val="22"/>
                <w:szCs w:val="22"/>
                <w:lang w:val="id" w:eastAsia="en-ID"/>
              </w:rPr>
              <w:t>Obat lainnya</w:t>
            </w:r>
          </w:p>
        </w:tc>
        <w:tc>
          <w:tcPr>
            <w:tcW w:w="888" w:type="dxa"/>
            <w:tcBorders>
              <w:top w:val="single" w:sz="4" w:space="0" w:color="auto"/>
              <w:bottom w:val="nil"/>
            </w:tcBorders>
          </w:tcPr>
          <w:p w14:paraId="7770445B" w14:textId="77777777" w:rsidR="00C952CB" w:rsidRPr="00C952CB" w:rsidRDefault="00C952CB" w:rsidP="004C6810">
            <w:pPr>
              <w:widowControl/>
              <w:autoSpaceDE/>
              <w:autoSpaceDN/>
              <w:adjustRightInd/>
              <w:spacing w:line="240" w:lineRule="auto"/>
              <w:contextualSpacing/>
              <w:jc w:val="center"/>
              <w:textAlignment w:val="auto"/>
              <w:rPr>
                <w:rFonts w:eastAsia="Calibri"/>
                <w:kern w:val="0"/>
                <w:szCs w:val="22"/>
                <w:lang w:val="id" w:eastAsia="en-ID"/>
              </w:rPr>
            </w:pPr>
          </w:p>
        </w:tc>
        <w:tc>
          <w:tcPr>
            <w:cnfStyle w:val="000100000000" w:firstRow="0" w:lastRow="0" w:firstColumn="0" w:lastColumn="1" w:oddVBand="0" w:evenVBand="0" w:oddHBand="0" w:evenHBand="0" w:firstRowFirstColumn="0" w:firstRowLastColumn="0" w:lastRowFirstColumn="0" w:lastRowLastColumn="0"/>
            <w:tcW w:w="1480" w:type="dxa"/>
            <w:tcBorders>
              <w:top w:val="single" w:sz="4" w:space="0" w:color="auto"/>
              <w:bottom w:val="nil"/>
            </w:tcBorders>
          </w:tcPr>
          <w:p w14:paraId="28FB4E7F" w14:textId="77777777" w:rsidR="00C952CB" w:rsidRPr="00C952CB" w:rsidRDefault="00C952CB" w:rsidP="004C6810">
            <w:pPr>
              <w:widowControl/>
              <w:autoSpaceDE/>
              <w:autoSpaceDN/>
              <w:adjustRightInd/>
              <w:spacing w:line="240" w:lineRule="auto"/>
              <w:contextualSpacing/>
              <w:jc w:val="center"/>
              <w:textAlignment w:val="auto"/>
              <w:rPr>
                <w:rFonts w:eastAsia="Calibri"/>
                <w:b w:val="0"/>
                <w:bCs w:val="0"/>
                <w:kern w:val="0"/>
                <w:szCs w:val="22"/>
                <w:lang w:val="id" w:eastAsia="en-ID"/>
              </w:rPr>
            </w:pPr>
          </w:p>
        </w:tc>
      </w:tr>
      <w:tr w:rsidR="00C952CB" w:rsidRPr="00C952CB" w14:paraId="2B300CB8" w14:textId="77777777" w:rsidTr="00226109">
        <w:tc>
          <w:tcPr>
            <w:tcW w:w="1785" w:type="dxa"/>
            <w:tcBorders>
              <w:top w:val="nil"/>
            </w:tcBorders>
          </w:tcPr>
          <w:p w14:paraId="166CE204" w14:textId="77777777" w:rsidR="00C952CB" w:rsidRPr="00C952CB" w:rsidRDefault="00C952CB" w:rsidP="004C6810">
            <w:pPr>
              <w:widowControl/>
              <w:autoSpaceDE/>
              <w:autoSpaceDN/>
              <w:adjustRightInd/>
              <w:spacing w:line="240" w:lineRule="auto"/>
              <w:jc w:val="left"/>
              <w:textAlignment w:val="auto"/>
              <w:rPr>
                <w:rFonts w:eastAsia="Calibri"/>
                <w:kern w:val="0"/>
                <w:sz w:val="22"/>
                <w:szCs w:val="22"/>
                <w:lang w:val="id" w:eastAsia="en-ID"/>
              </w:rPr>
            </w:pPr>
            <w:r w:rsidRPr="00C952CB">
              <w:rPr>
                <w:rFonts w:eastAsia="Calibri"/>
                <w:kern w:val="0"/>
                <w:sz w:val="22"/>
                <w:szCs w:val="22"/>
                <w:lang w:val="id" w:eastAsia="en-ID"/>
              </w:rPr>
              <w:t>Anti hipertensi</w:t>
            </w:r>
          </w:p>
        </w:tc>
        <w:tc>
          <w:tcPr>
            <w:tcW w:w="888" w:type="dxa"/>
            <w:tcBorders>
              <w:top w:val="nil"/>
            </w:tcBorders>
          </w:tcPr>
          <w:p w14:paraId="6A2773F7" w14:textId="77777777" w:rsidR="00C952CB" w:rsidRPr="00C952CB" w:rsidRDefault="00C952CB" w:rsidP="004C6810">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17</w:t>
            </w:r>
          </w:p>
        </w:tc>
        <w:tc>
          <w:tcPr>
            <w:cnfStyle w:val="000100000000" w:firstRow="0" w:lastRow="0" w:firstColumn="0" w:lastColumn="1" w:oddVBand="0" w:evenVBand="0" w:oddHBand="0" w:evenHBand="0" w:firstRowFirstColumn="0" w:firstRowLastColumn="0" w:lastRowFirstColumn="0" w:lastRowLastColumn="0"/>
            <w:tcW w:w="1480" w:type="dxa"/>
            <w:tcBorders>
              <w:top w:val="nil"/>
            </w:tcBorders>
          </w:tcPr>
          <w:p w14:paraId="0698B3A2" w14:textId="77777777" w:rsidR="00C952CB" w:rsidRPr="00C952CB" w:rsidRDefault="00C952CB" w:rsidP="004C6810">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14,4</w:t>
            </w:r>
          </w:p>
        </w:tc>
      </w:tr>
      <w:tr w:rsidR="00C952CB" w:rsidRPr="00C952CB" w14:paraId="5710F03C" w14:textId="77777777" w:rsidTr="00226109">
        <w:tc>
          <w:tcPr>
            <w:tcW w:w="1785" w:type="dxa"/>
          </w:tcPr>
          <w:p w14:paraId="6D64B187" w14:textId="77777777" w:rsidR="00C952CB" w:rsidRPr="00C952CB" w:rsidRDefault="00C952CB" w:rsidP="004C6810">
            <w:pPr>
              <w:widowControl/>
              <w:autoSpaceDE/>
              <w:autoSpaceDN/>
              <w:adjustRightInd/>
              <w:spacing w:line="240" w:lineRule="auto"/>
              <w:jc w:val="left"/>
              <w:textAlignment w:val="auto"/>
              <w:rPr>
                <w:rFonts w:eastAsia="Calibri"/>
                <w:kern w:val="0"/>
                <w:sz w:val="22"/>
                <w:szCs w:val="22"/>
                <w:lang w:val="id" w:eastAsia="en-ID"/>
              </w:rPr>
            </w:pPr>
            <w:r w:rsidRPr="00C952CB">
              <w:rPr>
                <w:rFonts w:eastAsia="Calibri"/>
                <w:kern w:val="0"/>
                <w:sz w:val="22"/>
                <w:szCs w:val="22"/>
                <w:lang w:val="id" w:eastAsia="en-ID"/>
              </w:rPr>
              <w:t>Obat saluran cerna</w:t>
            </w:r>
          </w:p>
        </w:tc>
        <w:tc>
          <w:tcPr>
            <w:tcW w:w="888" w:type="dxa"/>
          </w:tcPr>
          <w:p w14:paraId="4AFB7B35" w14:textId="77777777" w:rsidR="00C952CB" w:rsidRPr="00C952CB" w:rsidRDefault="00C952CB" w:rsidP="004C6810">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20</w:t>
            </w:r>
          </w:p>
        </w:tc>
        <w:tc>
          <w:tcPr>
            <w:cnfStyle w:val="000100000000" w:firstRow="0" w:lastRow="0" w:firstColumn="0" w:lastColumn="1" w:oddVBand="0" w:evenVBand="0" w:oddHBand="0" w:evenHBand="0" w:firstRowFirstColumn="0" w:firstRowLastColumn="0" w:lastRowFirstColumn="0" w:lastRowLastColumn="0"/>
            <w:tcW w:w="1480" w:type="dxa"/>
          </w:tcPr>
          <w:p w14:paraId="2CB28123" w14:textId="77777777" w:rsidR="00C952CB" w:rsidRPr="00C952CB" w:rsidRDefault="00C952CB" w:rsidP="004C6810">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16,9</w:t>
            </w:r>
          </w:p>
        </w:tc>
      </w:tr>
      <w:tr w:rsidR="00C952CB" w:rsidRPr="00C952CB" w14:paraId="7A1D2E6D" w14:textId="77777777" w:rsidTr="00226109">
        <w:tc>
          <w:tcPr>
            <w:tcW w:w="1785" w:type="dxa"/>
          </w:tcPr>
          <w:p w14:paraId="3FDD0371" w14:textId="77777777" w:rsidR="00C952CB" w:rsidRPr="00C952CB" w:rsidRDefault="00C952CB" w:rsidP="004C6810">
            <w:pPr>
              <w:widowControl/>
              <w:autoSpaceDE/>
              <w:autoSpaceDN/>
              <w:adjustRightInd/>
              <w:spacing w:line="240" w:lineRule="auto"/>
              <w:jc w:val="left"/>
              <w:textAlignment w:val="auto"/>
              <w:rPr>
                <w:rFonts w:eastAsia="Calibri"/>
                <w:kern w:val="0"/>
                <w:sz w:val="22"/>
                <w:szCs w:val="22"/>
                <w:lang w:val="id" w:eastAsia="en-ID"/>
              </w:rPr>
            </w:pPr>
            <w:r w:rsidRPr="00C952CB">
              <w:rPr>
                <w:rFonts w:eastAsia="Calibri"/>
                <w:kern w:val="0"/>
                <w:sz w:val="22"/>
                <w:szCs w:val="22"/>
                <w:lang w:val="id" w:eastAsia="en-ID"/>
              </w:rPr>
              <w:t>Obat kardiovaskular</w:t>
            </w:r>
          </w:p>
        </w:tc>
        <w:tc>
          <w:tcPr>
            <w:tcW w:w="888" w:type="dxa"/>
          </w:tcPr>
          <w:p w14:paraId="1CD9D122" w14:textId="77777777" w:rsidR="00C952CB" w:rsidRPr="00C952CB" w:rsidRDefault="00C952CB" w:rsidP="004C6810">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14</w:t>
            </w:r>
          </w:p>
        </w:tc>
        <w:tc>
          <w:tcPr>
            <w:cnfStyle w:val="000100000000" w:firstRow="0" w:lastRow="0" w:firstColumn="0" w:lastColumn="1" w:oddVBand="0" w:evenVBand="0" w:oddHBand="0" w:evenHBand="0" w:firstRowFirstColumn="0" w:firstRowLastColumn="0" w:lastRowFirstColumn="0" w:lastRowLastColumn="0"/>
            <w:tcW w:w="1480" w:type="dxa"/>
          </w:tcPr>
          <w:p w14:paraId="6B38B8FA" w14:textId="77777777" w:rsidR="00C952CB" w:rsidRPr="00C952CB" w:rsidRDefault="00C952CB" w:rsidP="004C6810">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11,9</w:t>
            </w:r>
          </w:p>
        </w:tc>
      </w:tr>
      <w:tr w:rsidR="00C952CB" w:rsidRPr="00C952CB" w14:paraId="3BC5B0F9" w14:textId="77777777" w:rsidTr="00226109">
        <w:tc>
          <w:tcPr>
            <w:tcW w:w="1785" w:type="dxa"/>
          </w:tcPr>
          <w:p w14:paraId="4C8B031C" w14:textId="77777777" w:rsidR="00C952CB" w:rsidRPr="00C952CB" w:rsidRDefault="00C952CB" w:rsidP="004C6810">
            <w:pPr>
              <w:widowControl/>
              <w:autoSpaceDE/>
              <w:autoSpaceDN/>
              <w:adjustRightInd/>
              <w:spacing w:line="240" w:lineRule="auto"/>
              <w:jc w:val="left"/>
              <w:textAlignment w:val="auto"/>
              <w:rPr>
                <w:rFonts w:eastAsia="Calibri"/>
                <w:kern w:val="0"/>
                <w:sz w:val="22"/>
                <w:szCs w:val="22"/>
                <w:lang w:val="id" w:eastAsia="en-ID"/>
              </w:rPr>
            </w:pPr>
            <w:r w:rsidRPr="00C952CB">
              <w:rPr>
                <w:rFonts w:eastAsia="Calibri"/>
                <w:kern w:val="0"/>
                <w:sz w:val="22"/>
                <w:szCs w:val="22"/>
                <w:lang w:val="id" w:eastAsia="en-ID"/>
              </w:rPr>
              <w:t>Antibiotik</w:t>
            </w:r>
          </w:p>
        </w:tc>
        <w:tc>
          <w:tcPr>
            <w:tcW w:w="888" w:type="dxa"/>
          </w:tcPr>
          <w:p w14:paraId="0C03183A" w14:textId="77777777" w:rsidR="00C952CB" w:rsidRPr="00C952CB" w:rsidRDefault="00C952CB" w:rsidP="004C6810">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2</w:t>
            </w:r>
          </w:p>
        </w:tc>
        <w:tc>
          <w:tcPr>
            <w:cnfStyle w:val="000100000000" w:firstRow="0" w:lastRow="0" w:firstColumn="0" w:lastColumn="1" w:oddVBand="0" w:evenVBand="0" w:oddHBand="0" w:evenHBand="0" w:firstRowFirstColumn="0" w:firstRowLastColumn="0" w:lastRowFirstColumn="0" w:lastRowLastColumn="0"/>
            <w:tcW w:w="1480" w:type="dxa"/>
          </w:tcPr>
          <w:p w14:paraId="6DC50E62" w14:textId="77777777" w:rsidR="00C952CB" w:rsidRPr="00C952CB" w:rsidRDefault="00C952CB" w:rsidP="004C6810">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1,7</w:t>
            </w:r>
          </w:p>
        </w:tc>
      </w:tr>
      <w:tr w:rsidR="00C952CB" w:rsidRPr="00C952CB" w14:paraId="40C31D80" w14:textId="77777777" w:rsidTr="00226109">
        <w:tc>
          <w:tcPr>
            <w:tcW w:w="1785" w:type="dxa"/>
          </w:tcPr>
          <w:p w14:paraId="2A232589" w14:textId="77777777" w:rsidR="00C952CB" w:rsidRPr="00C952CB" w:rsidRDefault="00C952CB" w:rsidP="004C6810">
            <w:pPr>
              <w:widowControl/>
              <w:autoSpaceDE/>
              <w:autoSpaceDN/>
              <w:adjustRightInd/>
              <w:spacing w:line="240" w:lineRule="auto"/>
              <w:jc w:val="left"/>
              <w:textAlignment w:val="auto"/>
              <w:rPr>
                <w:rFonts w:eastAsia="Calibri"/>
                <w:kern w:val="0"/>
                <w:sz w:val="22"/>
                <w:szCs w:val="22"/>
                <w:lang w:val="id" w:eastAsia="en-ID"/>
              </w:rPr>
            </w:pPr>
            <w:r w:rsidRPr="00C952CB">
              <w:rPr>
                <w:rFonts w:eastAsia="Calibri"/>
                <w:kern w:val="0"/>
                <w:sz w:val="22"/>
                <w:szCs w:val="22"/>
                <w:lang w:val="id" w:eastAsia="en-ID"/>
              </w:rPr>
              <w:t>Anti hiperglikemi</w:t>
            </w:r>
          </w:p>
        </w:tc>
        <w:tc>
          <w:tcPr>
            <w:tcW w:w="888" w:type="dxa"/>
          </w:tcPr>
          <w:p w14:paraId="2163D3E2" w14:textId="77777777" w:rsidR="00C952CB" w:rsidRPr="00C952CB" w:rsidRDefault="00C952CB" w:rsidP="004C6810">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10</w:t>
            </w:r>
          </w:p>
        </w:tc>
        <w:tc>
          <w:tcPr>
            <w:cnfStyle w:val="000100000000" w:firstRow="0" w:lastRow="0" w:firstColumn="0" w:lastColumn="1" w:oddVBand="0" w:evenVBand="0" w:oddHBand="0" w:evenHBand="0" w:firstRowFirstColumn="0" w:firstRowLastColumn="0" w:lastRowFirstColumn="0" w:lastRowLastColumn="0"/>
            <w:tcW w:w="1480" w:type="dxa"/>
          </w:tcPr>
          <w:p w14:paraId="0DC45A26" w14:textId="77777777" w:rsidR="00C952CB" w:rsidRPr="00C952CB" w:rsidRDefault="00C952CB" w:rsidP="004C6810">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8,5</w:t>
            </w:r>
          </w:p>
        </w:tc>
      </w:tr>
      <w:tr w:rsidR="00C952CB" w:rsidRPr="00C952CB" w14:paraId="711E1C1A" w14:textId="77777777" w:rsidTr="00226109">
        <w:tc>
          <w:tcPr>
            <w:tcW w:w="1785" w:type="dxa"/>
          </w:tcPr>
          <w:p w14:paraId="184F8C19" w14:textId="77777777" w:rsidR="00C952CB" w:rsidRPr="00C952CB" w:rsidRDefault="00C952CB" w:rsidP="004C6810">
            <w:pPr>
              <w:widowControl/>
              <w:autoSpaceDE/>
              <w:autoSpaceDN/>
              <w:adjustRightInd/>
              <w:spacing w:line="240" w:lineRule="auto"/>
              <w:jc w:val="left"/>
              <w:textAlignment w:val="auto"/>
              <w:rPr>
                <w:rFonts w:eastAsia="Calibri"/>
                <w:kern w:val="0"/>
                <w:sz w:val="22"/>
                <w:szCs w:val="22"/>
                <w:lang w:val="id" w:eastAsia="en-ID"/>
              </w:rPr>
            </w:pPr>
            <w:r w:rsidRPr="00C952CB">
              <w:rPr>
                <w:rFonts w:eastAsia="Calibri"/>
                <w:kern w:val="0"/>
                <w:sz w:val="22"/>
                <w:szCs w:val="22"/>
                <w:lang w:val="id" w:eastAsia="en-ID"/>
              </w:rPr>
              <w:t>Suplemen</w:t>
            </w:r>
          </w:p>
        </w:tc>
        <w:tc>
          <w:tcPr>
            <w:tcW w:w="888" w:type="dxa"/>
          </w:tcPr>
          <w:p w14:paraId="3EBE5155" w14:textId="77777777" w:rsidR="00C952CB" w:rsidRPr="00C952CB" w:rsidRDefault="00C952CB" w:rsidP="004C6810">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51</w:t>
            </w:r>
          </w:p>
        </w:tc>
        <w:tc>
          <w:tcPr>
            <w:cnfStyle w:val="000100000000" w:firstRow="0" w:lastRow="0" w:firstColumn="0" w:lastColumn="1" w:oddVBand="0" w:evenVBand="0" w:oddHBand="0" w:evenHBand="0" w:firstRowFirstColumn="0" w:firstRowLastColumn="0" w:lastRowFirstColumn="0" w:lastRowLastColumn="0"/>
            <w:tcW w:w="1480" w:type="dxa"/>
          </w:tcPr>
          <w:p w14:paraId="2642F0D7" w14:textId="77777777" w:rsidR="00C952CB" w:rsidRPr="00C952CB" w:rsidRDefault="00C952CB" w:rsidP="004C6810">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43,2</w:t>
            </w:r>
          </w:p>
        </w:tc>
      </w:tr>
      <w:tr w:rsidR="00C952CB" w:rsidRPr="00C952CB" w14:paraId="68CE13D0" w14:textId="77777777" w:rsidTr="00226109">
        <w:tc>
          <w:tcPr>
            <w:tcW w:w="1785" w:type="dxa"/>
          </w:tcPr>
          <w:p w14:paraId="2B2913E6" w14:textId="77777777" w:rsidR="00C952CB" w:rsidRPr="00C952CB" w:rsidRDefault="00C952CB" w:rsidP="004C6810">
            <w:pPr>
              <w:widowControl/>
              <w:autoSpaceDE/>
              <w:autoSpaceDN/>
              <w:adjustRightInd/>
              <w:spacing w:line="240" w:lineRule="auto"/>
              <w:jc w:val="left"/>
              <w:textAlignment w:val="auto"/>
              <w:rPr>
                <w:rFonts w:eastAsia="Calibri"/>
                <w:kern w:val="0"/>
                <w:sz w:val="22"/>
                <w:szCs w:val="22"/>
                <w:lang w:val="id" w:eastAsia="en-ID"/>
              </w:rPr>
            </w:pPr>
            <w:r w:rsidRPr="00C952CB">
              <w:rPr>
                <w:rFonts w:eastAsia="Calibri"/>
                <w:kern w:val="0"/>
                <w:sz w:val="22"/>
                <w:szCs w:val="22"/>
                <w:lang w:val="id" w:eastAsia="en-ID"/>
              </w:rPr>
              <w:t>Anti retroviral</w:t>
            </w:r>
          </w:p>
        </w:tc>
        <w:tc>
          <w:tcPr>
            <w:tcW w:w="888" w:type="dxa"/>
          </w:tcPr>
          <w:p w14:paraId="61ED1B2C" w14:textId="77777777" w:rsidR="00C952CB" w:rsidRPr="00C952CB" w:rsidRDefault="00C952CB" w:rsidP="004C6810">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1</w:t>
            </w:r>
          </w:p>
        </w:tc>
        <w:tc>
          <w:tcPr>
            <w:cnfStyle w:val="000100000000" w:firstRow="0" w:lastRow="0" w:firstColumn="0" w:lastColumn="1" w:oddVBand="0" w:evenVBand="0" w:oddHBand="0" w:evenHBand="0" w:firstRowFirstColumn="0" w:firstRowLastColumn="0" w:lastRowFirstColumn="0" w:lastRowLastColumn="0"/>
            <w:tcW w:w="1480" w:type="dxa"/>
          </w:tcPr>
          <w:p w14:paraId="60383ECC" w14:textId="77777777" w:rsidR="00C952CB" w:rsidRPr="00C952CB" w:rsidRDefault="00C952CB" w:rsidP="004C6810">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0,8</w:t>
            </w:r>
          </w:p>
        </w:tc>
      </w:tr>
      <w:tr w:rsidR="00C952CB" w:rsidRPr="00C952CB" w14:paraId="40ABDDDF" w14:textId="77777777" w:rsidTr="00226109">
        <w:tc>
          <w:tcPr>
            <w:tcW w:w="1785" w:type="dxa"/>
            <w:tcBorders>
              <w:bottom w:val="single" w:sz="4" w:space="0" w:color="auto"/>
            </w:tcBorders>
          </w:tcPr>
          <w:p w14:paraId="44DB0E7E" w14:textId="77777777" w:rsidR="00C952CB" w:rsidRPr="00C952CB" w:rsidRDefault="00C952CB" w:rsidP="004C6810">
            <w:pPr>
              <w:widowControl/>
              <w:autoSpaceDE/>
              <w:autoSpaceDN/>
              <w:adjustRightInd/>
              <w:spacing w:line="240" w:lineRule="auto"/>
              <w:jc w:val="left"/>
              <w:textAlignment w:val="auto"/>
              <w:rPr>
                <w:rFonts w:eastAsia="Calibri"/>
                <w:kern w:val="0"/>
                <w:sz w:val="22"/>
                <w:szCs w:val="22"/>
                <w:lang w:val="id" w:eastAsia="en-ID"/>
              </w:rPr>
            </w:pPr>
            <w:r w:rsidRPr="00C952CB">
              <w:rPr>
                <w:rFonts w:eastAsia="Calibri"/>
                <w:kern w:val="0"/>
                <w:sz w:val="22"/>
                <w:szCs w:val="22"/>
                <w:lang w:val="id" w:eastAsia="en-ID"/>
              </w:rPr>
              <w:t>Obat saluran kemih</w:t>
            </w:r>
          </w:p>
        </w:tc>
        <w:tc>
          <w:tcPr>
            <w:tcW w:w="888" w:type="dxa"/>
            <w:tcBorders>
              <w:bottom w:val="single" w:sz="4" w:space="0" w:color="auto"/>
            </w:tcBorders>
          </w:tcPr>
          <w:p w14:paraId="22C7E240" w14:textId="77777777" w:rsidR="00C952CB" w:rsidRPr="00C952CB" w:rsidRDefault="00C952CB" w:rsidP="004C6810">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3</w:t>
            </w:r>
          </w:p>
        </w:tc>
        <w:tc>
          <w:tcPr>
            <w:cnfStyle w:val="000100000000" w:firstRow="0" w:lastRow="0" w:firstColumn="0" w:lastColumn="1" w:oddVBand="0" w:evenVBand="0" w:oddHBand="0" w:evenHBand="0" w:firstRowFirstColumn="0" w:firstRowLastColumn="0" w:lastRowFirstColumn="0" w:lastRowLastColumn="0"/>
            <w:tcW w:w="1480" w:type="dxa"/>
            <w:tcBorders>
              <w:bottom w:val="single" w:sz="4" w:space="0" w:color="auto"/>
            </w:tcBorders>
          </w:tcPr>
          <w:p w14:paraId="693F68FF" w14:textId="77777777" w:rsidR="00C952CB" w:rsidRPr="00C952CB" w:rsidRDefault="00C952CB" w:rsidP="004C6810">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2,5</w:t>
            </w:r>
          </w:p>
        </w:tc>
      </w:tr>
      <w:tr w:rsidR="00C952CB" w:rsidRPr="00C952CB" w14:paraId="2A35B2DE" w14:textId="77777777" w:rsidTr="00C952CB">
        <w:tc>
          <w:tcPr>
            <w:tcW w:w="1785" w:type="dxa"/>
            <w:tcBorders>
              <w:top w:val="single" w:sz="4" w:space="0" w:color="auto"/>
              <w:bottom w:val="single" w:sz="4" w:space="0" w:color="7F7F7F"/>
            </w:tcBorders>
          </w:tcPr>
          <w:p w14:paraId="1C6B88AF" w14:textId="77777777" w:rsidR="00C952CB" w:rsidRPr="00C952CB" w:rsidRDefault="00C952CB" w:rsidP="004C6810">
            <w:pPr>
              <w:widowControl/>
              <w:autoSpaceDE/>
              <w:autoSpaceDN/>
              <w:adjustRightInd/>
              <w:spacing w:line="240" w:lineRule="auto"/>
              <w:textAlignment w:val="auto"/>
              <w:rPr>
                <w:rFonts w:eastAsia="Calibri"/>
                <w:kern w:val="0"/>
                <w:sz w:val="22"/>
                <w:szCs w:val="22"/>
                <w:lang w:val="id" w:eastAsia="en-ID"/>
              </w:rPr>
            </w:pPr>
            <w:r w:rsidRPr="00C952CB">
              <w:rPr>
                <w:rFonts w:eastAsia="Calibri"/>
                <w:kern w:val="0"/>
                <w:sz w:val="22"/>
                <w:szCs w:val="22"/>
                <w:lang w:val="id" w:eastAsia="en-ID"/>
              </w:rPr>
              <w:t>Jumlah</w:t>
            </w:r>
          </w:p>
        </w:tc>
        <w:tc>
          <w:tcPr>
            <w:tcW w:w="888" w:type="dxa"/>
            <w:tcBorders>
              <w:top w:val="single" w:sz="4" w:space="0" w:color="auto"/>
              <w:bottom w:val="single" w:sz="4" w:space="0" w:color="7F7F7F"/>
            </w:tcBorders>
          </w:tcPr>
          <w:p w14:paraId="64675ECA" w14:textId="77777777" w:rsidR="00C952CB" w:rsidRPr="00C952CB" w:rsidRDefault="00C952CB" w:rsidP="004C6810">
            <w:pPr>
              <w:widowControl/>
              <w:autoSpaceDE/>
              <w:autoSpaceDN/>
              <w:adjustRightInd/>
              <w:spacing w:line="240" w:lineRule="auto"/>
              <w:contextualSpacing/>
              <w:jc w:val="center"/>
              <w:textAlignment w:val="auto"/>
              <w:rPr>
                <w:rFonts w:eastAsia="Calibri"/>
                <w:kern w:val="0"/>
                <w:szCs w:val="22"/>
                <w:lang w:val="id" w:eastAsia="en-ID"/>
              </w:rPr>
            </w:pPr>
            <w:r w:rsidRPr="00C952CB">
              <w:rPr>
                <w:rFonts w:eastAsia="Calibri"/>
                <w:kern w:val="0"/>
                <w:szCs w:val="22"/>
                <w:lang w:val="id" w:eastAsia="en-ID"/>
              </w:rPr>
              <w:t>118</w:t>
            </w:r>
          </w:p>
        </w:tc>
        <w:tc>
          <w:tcPr>
            <w:cnfStyle w:val="000100000000" w:firstRow="0" w:lastRow="0" w:firstColumn="0" w:lastColumn="1" w:oddVBand="0" w:evenVBand="0" w:oddHBand="0" w:evenHBand="0" w:firstRowFirstColumn="0" w:firstRowLastColumn="0" w:lastRowFirstColumn="0" w:lastRowLastColumn="0"/>
            <w:tcW w:w="1480" w:type="dxa"/>
            <w:tcBorders>
              <w:top w:val="single" w:sz="4" w:space="0" w:color="auto"/>
              <w:bottom w:val="single" w:sz="4" w:space="0" w:color="7F7F7F"/>
            </w:tcBorders>
          </w:tcPr>
          <w:p w14:paraId="6CAC5494" w14:textId="77777777" w:rsidR="00C952CB" w:rsidRPr="00C952CB" w:rsidRDefault="00C952CB" w:rsidP="004C6810">
            <w:pPr>
              <w:widowControl/>
              <w:autoSpaceDE/>
              <w:autoSpaceDN/>
              <w:adjustRightInd/>
              <w:spacing w:line="240" w:lineRule="auto"/>
              <w:contextualSpacing/>
              <w:jc w:val="center"/>
              <w:textAlignment w:val="auto"/>
              <w:rPr>
                <w:rFonts w:eastAsia="Calibri"/>
                <w:b w:val="0"/>
                <w:bCs w:val="0"/>
                <w:kern w:val="0"/>
                <w:szCs w:val="22"/>
                <w:lang w:val="id" w:eastAsia="en-ID"/>
              </w:rPr>
            </w:pPr>
            <w:r w:rsidRPr="00C952CB">
              <w:rPr>
                <w:rFonts w:eastAsia="Calibri"/>
                <w:b w:val="0"/>
                <w:bCs w:val="0"/>
                <w:kern w:val="0"/>
                <w:szCs w:val="22"/>
                <w:lang w:val="id" w:eastAsia="en-ID"/>
              </w:rPr>
              <w:t>100</w:t>
            </w:r>
          </w:p>
        </w:tc>
      </w:tr>
    </w:tbl>
    <w:p w14:paraId="1A42028C" w14:textId="77777777" w:rsidR="00C952CB" w:rsidRPr="00867500" w:rsidRDefault="00C952CB" w:rsidP="00D24FD8">
      <w:pPr>
        <w:pStyle w:val="Addresses"/>
        <w:spacing w:line="240" w:lineRule="auto"/>
        <w:jc w:val="left"/>
        <w:rPr>
          <w:i w:val="0"/>
        </w:rPr>
      </w:pPr>
    </w:p>
    <w:p w14:paraId="7A67645D" w14:textId="73FE1F2D" w:rsidR="00D24FD8" w:rsidRDefault="003D41E9" w:rsidP="006F5884">
      <w:pPr>
        <w:pStyle w:val="Addresses"/>
        <w:spacing w:line="240" w:lineRule="auto"/>
        <w:ind w:firstLine="567"/>
        <w:jc w:val="both"/>
        <w:rPr>
          <w:i w:val="0"/>
          <w:color w:val="000000" w:themeColor="text1"/>
        </w:rPr>
      </w:pPr>
      <w:r w:rsidRPr="003D41E9">
        <w:rPr>
          <w:i w:val="0"/>
          <w:color w:val="000000" w:themeColor="text1"/>
        </w:rPr>
        <w:t xml:space="preserve">Berdasarkan tabel 1, sebanyak 118 pasien OA yang menjalani pengobatan di RS X Kudus pada tahun 2025 memenuhi kriteria inklusi dalam penelitian ini. Mayoritas pasien osteoartritis berjenis kelamin perempuan yaitu sebanyak 86 pasien (72,9%), hasil penelitian ini sesuai dengan Hasil penelitian sesuai dengan penelitian yang dilakukan oleh </w:t>
      </w:r>
      <w:r>
        <w:rPr>
          <w:i w:val="0"/>
          <w:color w:val="000000" w:themeColor="text1"/>
        </w:rPr>
        <w:t xml:space="preserve"> </w:t>
      </w:r>
      <w:commentRangeStart w:id="11"/>
      <w:r>
        <w:rPr>
          <w:i w:val="0"/>
          <w:color w:val="000000" w:themeColor="text1"/>
        </w:rPr>
        <w:fldChar w:fldCharType="begin" w:fldLock="1"/>
      </w:r>
      <w:r>
        <w:rPr>
          <w:i w:val="0"/>
          <w:color w:val="000000" w:themeColor="text1"/>
        </w:rPr>
        <w:instrText>ADDIN CSL_CITATION {"citationItems":[{"id":"ITEM-1","itemData":{"ISSN":"2656-9612","author":[{"dropping-particle":"","family":"Radiah","given":"Nur","non-dropping-particle":"","parse-names":false,"suffix":""},{"dropping-particle":"","family":"Arista Pratama","given":"Isra","non-dropping-particle":"","parse-names":false,"suffix":""},{"dropping-particle":"","family":"Pahmi","given":"Khairil","non-dropping-particle":"","parse-names":false,"suffix":""},{"dropping-particle":"","family":"Korespondensi","given":"Penulis","non-dropping-particle":"","parse-names":false,"suffix":""}],"container-title":"Journal Syifa Sciences and Clinical Research (JSSCR)","id":"ITEM-1","issue":"3","issued":{"date-parts":[["2023"]]},"page":"423-428","title":"Jalan Merdeka Raya Karang Pule Telp. (0370) 6161208 Mataram, Indonesia 3 Program Studi Pendidikan Dokter, Fakultas Kedokteran","type":"article-journal","volume":"5"},"uris":["http://www.mendeley.com/documents/?uuid=8c4402d7-972b-4b63-b083-df0de3a33097"]}],"mendeley":{"formattedCitation":"(Radiah et al., 2023)","plainTextFormattedCitation":"(Radiah et al., 2023)","previouslyFormattedCitation":"(Radiah et al., 2023)"},"properties":{"noteIndex":0},"schema":"https://github.com/citation-style-language/schema/raw/master/csl-citation.json"}</w:instrText>
      </w:r>
      <w:r>
        <w:rPr>
          <w:i w:val="0"/>
          <w:color w:val="000000" w:themeColor="text1"/>
        </w:rPr>
        <w:fldChar w:fldCharType="separate"/>
      </w:r>
      <w:r w:rsidRPr="003D41E9">
        <w:rPr>
          <w:i w:val="0"/>
          <w:noProof/>
          <w:color w:val="000000" w:themeColor="text1"/>
        </w:rPr>
        <w:t xml:space="preserve">(Radiah </w:t>
      </w:r>
      <w:r w:rsidRPr="003D41E9">
        <w:rPr>
          <w:iCs/>
          <w:noProof/>
          <w:color w:val="000000" w:themeColor="text1"/>
        </w:rPr>
        <w:t>et al.</w:t>
      </w:r>
      <w:r w:rsidRPr="003D41E9">
        <w:rPr>
          <w:i w:val="0"/>
          <w:noProof/>
          <w:color w:val="000000" w:themeColor="text1"/>
        </w:rPr>
        <w:t>, 2023)</w:t>
      </w:r>
      <w:r>
        <w:rPr>
          <w:i w:val="0"/>
          <w:color w:val="000000" w:themeColor="text1"/>
        </w:rPr>
        <w:fldChar w:fldCharType="end"/>
      </w:r>
      <w:r>
        <w:rPr>
          <w:i w:val="0"/>
          <w:color w:val="000000" w:themeColor="text1"/>
        </w:rPr>
        <w:t xml:space="preserve"> </w:t>
      </w:r>
      <w:r w:rsidRPr="003D41E9">
        <w:rPr>
          <w:i w:val="0"/>
          <w:color w:val="000000" w:themeColor="text1"/>
        </w:rPr>
        <w:t>d</w:t>
      </w:r>
      <w:commentRangeEnd w:id="11"/>
      <w:r w:rsidR="00040519">
        <w:rPr>
          <w:rStyle w:val="CommentReference"/>
          <w:i w:val="0"/>
          <w:kern w:val="2"/>
        </w:rPr>
        <w:commentReference w:id="11"/>
      </w:r>
      <w:r w:rsidRPr="003D41E9">
        <w:rPr>
          <w:i w:val="0"/>
          <w:color w:val="000000" w:themeColor="text1"/>
        </w:rPr>
        <w:t xml:space="preserve">i instalasi rawat jalan Rumah Sakit X Sumbawa Barat tahun 2023 menunjukan bahwa penderita osteoartritis paling banyak terjadi pada perempuan (52,88%) karena penurunan kadar hormon estrogen yang merupakan salah satu faktor risiko terjadinya osteoartritis, hormon ini berperan dalam mengatur metabolisme lemak, sehingga penurunannya dapat meningkatkan penumpukan lemak tubuh yang berdampak pada peningkatan beban mekanik sendi </w:t>
      </w:r>
      <w:r>
        <w:rPr>
          <w:i w:val="0"/>
          <w:color w:val="000000" w:themeColor="text1"/>
        </w:rPr>
        <w:fldChar w:fldCharType="begin" w:fldLock="1"/>
      </w:r>
      <w:r w:rsidR="006F5884">
        <w:rPr>
          <w:i w:val="0"/>
          <w:color w:val="000000" w:themeColor="text1"/>
        </w:rPr>
        <w:instrText>ADDIN CSL_CITATION {"citationItems":[{"id":"ITEM-1","itemData":{"DOI":"https://doi.org/10.59841/an-najat.v3i1.2239","author":[{"dropping-particle":"","family":"Fatoni","given":"Isyna Hida; Rismi","non-dropping-particle":"","parse-names":false,"suffix":""}],"id":"ITEM-1","issued":{"date-parts":[["2024"]]},"title":"Gambaran Penggunaan Obat Antiinflamasi Non Steroid Pada Pasien Penderita Osteoarthritis di Instalasi Rawat Jalan RSUD Kajen Periode Januari – Oktober 2024 “ Gambaran Penggunaan Obat Antiinflamasi Non Steroid Pada Pasien Pe nderita Osteoarthritis di Instal","type":"article-journal"},"uris":["http://www.mendeley.com/documents/?uuid=42be834a-a688-42d6-ba11-6658b72a3ec4"]}],"mendeley":{"formattedCitation":"(Fatoni, 2024)","plainTextFormattedCitation":"(Fatoni, 2024)","previouslyFormattedCitation":"(Fatoni, 2024)"},"properties":{"noteIndex":0},"schema":"https://github.com/citation-style-language/schema/raw/master/csl-citation.json"}</w:instrText>
      </w:r>
      <w:r>
        <w:rPr>
          <w:i w:val="0"/>
          <w:color w:val="000000" w:themeColor="text1"/>
        </w:rPr>
        <w:fldChar w:fldCharType="separate"/>
      </w:r>
      <w:r w:rsidRPr="003D41E9">
        <w:rPr>
          <w:i w:val="0"/>
          <w:noProof/>
          <w:color w:val="000000" w:themeColor="text1"/>
        </w:rPr>
        <w:t>(Fatoni, 2024)</w:t>
      </w:r>
      <w:r>
        <w:rPr>
          <w:i w:val="0"/>
          <w:color w:val="000000" w:themeColor="text1"/>
        </w:rPr>
        <w:fldChar w:fldCharType="end"/>
      </w:r>
      <w:r>
        <w:rPr>
          <w:i w:val="0"/>
          <w:color w:val="000000" w:themeColor="text1"/>
        </w:rPr>
        <w:t>.</w:t>
      </w:r>
    </w:p>
    <w:p w14:paraId="65DC9496" w14:textId="03A7786E" w:rsidR="006F5884" w:rsidRDefault="006F5884" w:rsidP="006F5884">
      <w:pPr>
        <w:pStyle w:val="Addresses"/>
        <w:spacing w:line="240" w:lineRule="auto"/>
        <w:ind w:firstLine="567"/>
        <w:jc w:val="both"/>
        <w:rPr>
          <w:i w:val="0"/>
          <w:color w:val="000000" w:themeColor="text1"/>
        </w:rPr>
      </w:pPr>
      <w:r w:rsidRPr="006F5884">
        <w:rPr>
          <w:i w:val="0"/>
          <w:color w:val="000000" w:themeColor="text1"/>
        </w:rPr>
        <w:t xml:space="preserve">Kategori usia yang paling banyak ditemukan pada pasien osteoartritis yaitu pada rentang usia 55-64 tahun sebanyak 41 pasien (34,7%) Kondisi ini berkaitan dengan bertambahnya usia yang disertai dengan penurunan kualitas dan kekuatan kolagen serta proteoglikan pada kartilago sendi </w:t>
      </w:r>
      <w:r>
        <w:rPr>
          <w:i w:val="0"/>
          <w:color w:val="000000" w:themeColor="text1"/>
        </w:rPr>
        <w:fldChar w:fldCharType="begin" w:fldLock="1"/>
      </w:r>
      <w:r>
        <w:rPr>
          <w:i w:val="0"/>
          <w:color w:val="000000" w:themeColor="text1"/>
        </w:rPr>
        <w:instrText>ADDIN CSL_CITATION {"citationItems":[{"id":"ITEM-1","itemData":{"DOI":"https://doi.org/10.59841/an-najat.v3i1.2239","author":[{"dropping-particle":"","family":"Fatoni","given":"Isyna Hida; Rismi","non-dropping-particle":"","parse-names":false,"suffix":""}],"id":"ITEM-1","issued":{"date-parts":[["2024"]]},"title":"Gambaran Penggunaan Obat Antiinflamasi Non Steroid Pada Pasien Penderita Osteoarthritis di Instalasi Rawat Jalan RSUD Kajen Periode Januari – Oktober 2024 “ Gambaran Penggunaan Obat Antiinflamasi Non Steroid Pada Pasien Pe nderita Osteoarthritis di Instal","type":"article-journal"},"uris":["http://www.mendeley.com/documents/?uuid=42be834a-a688-42d6-ba11-6658b72a3ec4"]}],"mendeley":{"formattedCitation":"(Fatoni, 2024)","plainTextFormattedCitation":"(Fatoni, 2024)","previouslyFormattedCitation":"(Fatoni, 2024)"},"properties":{"noteIndex":0},"schema":"https://github.com/citation-style-language/schema/raw/master/csl-citation.json"}</w:instrText>
      </w:r>
      <w:r>
        <w:rPr>
          <w:i w:val="0"/>
          <w:color w:val="000000" w:themeColor="text1"/>
        </w:rPr>
        <w:fldChar w:fldCharType="separate"/>
      </w:r>
      <w:r w:rsidRPr="006F5884">
        <w:rPr>
          <w:i w:val="0"/>
          <w:noProof/>
          <w:color w:val="000000" w:themeColor="text1"/>
        </w:rPr>
        <w:t>(Fatoni, 2024)</w:t>
      </w:r>
      <w:r>
        <w:rPr>
          <w:i w:val="0"/>
          <w:color w:val="000000" w:themeColor="text1"/>
        </w:rPr>
        <w:fldChar w:fldCharType="end"/>
      </w:r>
      <w:r w:rsidRPr="006F5884">
        <w:rPr>
          <w:i w:val="0"/>
          <w:color w:val="000000" w:themeColor="text1"/>
        </w:rPr>
        <w:t xml:space="preserve">. Hal ini selaras dengan penelitian  </w:t>
      </w:r>
      <w:r>
        <w:rPr>
          <w:i w:val="0"/>
          <w:color w:val="000000" w:themeColor="text1"/>
        </w:rPr>
        <w:fldChar w:fldCharType="begin" w:fldLock="1"/>
      </w:r>
      <w:r>
        <w:rPr>
          <w:i w:val="0"/>
          <w:color w:val="000000" w:themeColor="text1"/>
        </w:rPr>
        <w:instrText>ADDIN CSL_CITATION {"citationItems":[{"id":"ITEM-1","itemData":{"author":[{"dropping-particle":"","family":"Putu","given":"Ni","non-dropping-particle":"","parse-names":false,"suffix":""},{"dropping-particle":"","family":"Widiani","given":"Astuti","non-dropping-particle":"","parse-names":false,"suffix":""},{"dropping-particle":"","family":"Kesehatan","given":"Fakultas","non-dropping-particle":"","parse-names":false,"suffix":""}],"id":"ITEM-1","issue":"2","issued":{"date-parts":[["2024"]]},"page":"9-16","title":"Evaluasi pemberian terapi nsaid pada pasien osteoarthritis di poli rawat jalan rs wisma prashanti","type":"article-journal","volume":"3"},"uris":["http://www.mendeley.com/documents/?uuid=b3cb2d83-be23-418a-92eb-677edb16395c"]}],"mendeley":{"formattedCitation":"(Putu et al., 2024)","manualFormatting":"Putu et al., (2024)","plainTextFormattedCitation":"(Putu et al., 2024)","previouslyFormattedCitation":"(Putu et al., 2024)"},"properties":{"noteIndex":0},"schema":"https://github.com/citation-style-language/schema/raw/master/csl-citation.json"}</w:instrText>
      </w:r>
      <w:r>
        <w:rPr>
          <w:i w:val="0"/>
          <w:color w:val="000000" w:themeColor="text1"/>
        </w:rPr>
        <w:fldChar w:fldCharType="separate"/>
      </w:r>
      <w:r w:rsidRPr="006F5884">
        <w:rPr>
          <w:i w:val="0"/>
          <w:noProof/>
          <w:color w:val="000000" w:themeColor="text1"/>
        </w:rPr>
        <w:t xml:space="preserve">Putu </w:t>
      </w:r>
      <w:r w:rsidRPr="006F5884">
        <w:rPr>
          <w:iCs/>
          <w:noProof/>
          <w:color w:val="000000" w:themeColor="text1"/>
        </w:rPr>
        <w:t>et al.,</w:t>
      </w:r>
      <w:r w:rsidRPr="006F5884">
        <w:rPr>
          <w:i w:val="0"/>
          <w:noProof/>
          <w:color w:val="000000" w:themeColor="text1"/>
        </w:rPr>
        <w:t xml:space="preserve"> </w:t>
      </w:r>
      <w:r>
        <w:rPr>
          <w:i w:val="0"/>
          <w:noProof/>
          <w:color w:val="000000" w:themeColor="text1"/>
        </w:rPr>
        <w:t>(</w:t>
      </w:r>
      <w:r w:rsidRPr="006F5884">
        <w:rPr>
          <w:i w:val="0"/>
          <w:noProof/>
          <w:color w:val="000000" w:themeColor="text1"/>
        </w:rPr>
        <w:t>2024)</w:t>
      </w:r>
      <w:r>
        <w:rPr>
          <w:i w:val="0"/>
          <w:color w:val="000000" w:themeColor="text1"/>
        </w:rPr>
        <w:fldChar w:fldCharType="end"/>
      </w:r>
      <w:r>
        <w:rPr>
          <w:i w:val="0"/>
          <w:color w:val="000000" w:themeColor="text1"/>
        </w:rPr>
        <w:t xml:space="preserve"> </w:t>
      </w:r>
      <w:r w:rsidRPr="006F5884">
        <w:rPr>
          <w:i w:val="0"/>
          <w:color w:val="000000" w:themeColor="text1"/>
        </w:rPr>
        <w:t xml:space="preserve">di poli rawat jalan RS Prisma Prashanti tahun 2024 yang menyatakan bahwa sebagian besar pasien osteoartritis banyak ditemukan pada rentang usia &gt;60 tahun sebanyak 40 pasien (51,3%). Usia memiliki hubungan yang erat dengan terjadinya nyeri </w:t>
      </w:r>
      <w:r w:rsidRPr="006F5884">
        <w:rPr>
          <w:i w:val="0"/>
          <w:color w:val="000000" w:themeColor="text1"/>
        </w:rPr>
        <w:t xml:space="preserve">maupun peradangan pada sendi. Peningkatan usia umumnya disertai dengan penurunan mobilitas, yang dapat menyebabkan melemahnya kekuatan otot, meningkatnya tekanan pada kartilago sendi, serta meningkatkan risiko terjadinya kerusakan atau robekan pada tendon </w:t>
      </w:r>
      <w:r>
        <w:rPr>
          <w:i w:val="0"/>
          <w:color w:val="000000" w:themeColor="text1"/>
        </w:rPr>
        <w:fldChar w:fldCharType="begin" w:fldLock="1"/>
      </w:r>
      <w:r>
        <w:rPr>
          <w:i w:val="0"/>
          <w:color w:val="000000" w:themeColor="text1"/>
        </w:rPr>
        <w:instrText>ADDIN CSL_CITATION {"citationItems":[{"id":"ITEM-1","itemData":{"author":[{"dropping-particle":"","family":"Economou","given":"Alessio","non-dropping-particle":"","parse-names":false,"suffix":""},{"dropping-particle":"","family":"Mallia","given":"Ilenia","non-dropping-particle":"","parse-names":false,"suffix":""},{"dropping-particle":"","family":"Fioravanti","given":"Antonella","non-dropping-particle":"","parse-names":false,"suffix":""},{"dropping-particle":"","family":"Gentileschi","given":"Stefano","non-dropping-particle":"","parse-names":false,"suffix":""},{"dropping-particle":"","family":"Nacci","given":"Francesca","non-dropping-particle":"","parse-names":false,"suffix":""},{"dropping-particle":"","family":"Randone","given":"Silvia Bellando","non-dropping-particle":"","parse-names":false,"suffix":""},{"dropping-particle":"","family":"Lepri","given":"Gemma","non-dropping-particle":"","parse-names":false,"suffix":""},{"dropping-particle":"","family":"Guiducci","given":"Serena","non-dropping-particle":"","parse-names":false,"suffix":""}],"id":"ITEM-1","issued":{"date-parts":[["2024"]]},"page":"1-25","title":"The Role of Adipokines between Genders in the Pathogenesis of Osteoarthritis","type":"article-journal"},"uris":["http://www.mendeley.com/documents/?uuid=0fc020d3-f75a-4009-a418-769753743352"]}],"mendeley":{"formattedCitation":"(Economou et al., 2024)","plainTextFormattedCitation":"(Economou et al., 2024)","previouslyFormattedCitation":"(Economou et al., 2024)"},"properties":{"noteIndex":0},"schema":"https://github.com/citation-style-language/schema/raw/master/csl-citation.json"}</w:instrText>
      </w:r>
      <w:r>
        <w:rPr>
          <w:i w:val="0"/>
          <w:color w:val="000000" w:themeColor="text1"/>
        </w:rPr>
        <w:fldChar w:fldCharType="separate"/>
      </w:r>
      <w:r w:rsidRPr="006F5884">
        <w:rPr>
          <w:i w:val="0"/>
          <w:noProof/>
          <w:color w:val="000000" w:themeColor="text1"/>
        </w:rPr>
        <w:t xml:space="preserve">(Economou </w:t>
      </w:r>
      <w:r w:rsidRPr="006F5884">
        <w:rPr>
          <w:iCs/>
          <w:noProof/>
          <w:color w:val="000000" w:themeColor="text1"/>
        </w:rPr>
        <w:t>et al.</w:t>
      </w:r>
      <w:r w:rsidRPr="006F5884">
        <w:rPr>
          <w:i w:val="0"/>
          <w:noProof/>
          <w:color w:val="000000" w:themeColor="text1"/>
        </w:rPr>
        <w:t>, 2024)</w:t>
      </w:r>
      <w:r>
        <w:rPr>
          <w:i w:val="0"/>
          <w:color w:val="000000" w:themeColor="text1"/>
        </w:rPr>
        <w:fldChar w:fldCharType="end"/>
      </w:r>
      <w:r>
        <w:rPr>
          <w:i w:val="0"/>
          <w:color w:val="000000" w:themeColor="text1"/>
        </w:rPr>
        <w:t>.</w:t>
      </w:r>
    </w:p>
    <w:p w14:paraId="42A1F33C" w14:textId="01DFBE46" w:rsidR="006F5884" w:rsidRDefault="006F5884" w:rsidP="006F5884">
      <w:pPr>
        <w:pStyle w:val="Addresses"/>
        <w:spacing w:line="240" w:lineRule="auto"/>
        <w:ind w:firstLine="567"/>
        <w:jc w:val="both"/>
        <w:rPr>
          <w:i w:val="0"/>
          <w:color w:val="000000" w:themeColor="text1"/>
        </w:rPr>
      </w:pPr>
      <w:r w:rsidRPr="006F5884">
        <w:rPr>
          <w:i w:val="0"/>
          <w:color w:val="000000" w:themeColor="text1"/>
        </w:rPr>
        <w:t xml:space="preserve">Analisis indeks massa tubuh (IMT) menunjukkan bahwa sebagian besar pasien memiliki IMT 23-29,9 (overweight) sebanyak 63 pasien (53,4%). Keadaan ini memiliki korelasi biologis dengan osteoartritis karena peningkatan berat badan memberikan beban mekanik yang lebih besar pada sendi berpenopang berat, khususnya lutut dan panggul, sehingga mempercepat kerusakan kartilago. Hasil penelitian ini sesuai dengan penelitian </w:t>
      </w:r>
      <w:r>
        <w:rPr>
          <w:i w:val="0"/>
          <w:color w:val="000000" w:themeColor="text1"/>
        </w:rPr>
        <w:fldChar w:fldCharType="begin" w:fldLock="1"/>
      </w:r>
      <w:r>
        <w:rPr>
          <w:i w:val="0"/>
          <w:color w:val="000000" w:themeColor="text1"/>
        </w:rPr>
        <w:instrText>ADDIN CSL_CITATION {"citationItems":[{"id":"ITEM-1","itemData":{"author":[{"dropping-particle":"","family":"Dina","given":"Fathin","non-dropping-particle":"","parse-names":false,"suffix":""}],"id":"ITEM-1","issued":{"date-parts":[["2020"]]},"title":"Profil Peresepan Obat pada Pasien Osteoarthritis di Instalasi Farmasi Rawat Jalan RSUP Fatmawati Periode Agustus -Desember 2020","type":"article-journal"},"uris":["http://www.mendeley.com/documents/?uuid=99fb62e6-2cff-4366-b400-89d9b3760696"]}],"mendeley":{"formattedCitation":"(Dina, 2020)","manualFormatting":"Dina (2020)","plainTextFormattedCitation":"(Dina, 2020)","previouslyFormattedCitation":"(Dina, 2020)"},"properties":{"noteIndex":0},"schema":"https://github.com/citation-style-language/schema/raw/master/csl-citation.json"}</w:instrText>
      </w:r>
      <w:r>
        <w:rPr>
          <w:i w:val="0"/>
          <w:color w:val="000000" w:themeColor="text1"/>
        </w:rPr>
        <w:fldChar w:fldCharType="separate"/>
      </w:r>
      <w:r w:rsidRPr="006F5884">
        <w:rPr>
          <w:i w:val="0"/>
          <w:noProof/>
          <w:color w:val="000000" w:themeColor="text1"/>
        </w:rPr>
        <w:t xml:space="preserve">Dina </w:t>
      </w:r>
      <w:r>
        <w:rPr>
          <w:i w:val="0"/>
          <w:noProof/>
          <w:color w:val="000000" w:themeColor="text1"/>
        </w:rPr>
        <w:t>(</w:t>
      </w:r>
      <w:r w:rsidRPr="006F5884">
        <w:rPr>
          <w:i w:val="0"/>
          <w:noProof/>
          <w:color w:val="000000" w:themeColor="text1"/>
        </w:rPr>
        <w:t>2020)</w:t>
      </w:r>
      <w:r>
        <w:rPr>
          <w:i w:val="0"/>
          <w:color w:val="000000" w:themeColor="text1"/>
        </w:rPr>
        <w:fldChar w:fldCharType="end"/>
      </w:r>
      <w:r>
        <w:rPr>
          <w:i w:val="0"/>
          <w:color w:val="000000" w:themeColor="text1"/>
        </w:rPr>
        <w:t xml:space="preserve"> </w:t>
      </w:r>
      <w:r w:rsidRPr="006F5884">
        <w:rPr>
          <w:i w:val="0"/>
          <w:color w:val="000000" w:themeColor="text1"/>
        </w:rPr>
        <w:t xml:space="preserve">di Instalasi Farmasi Rawat Jalan RSUP Fatmawati menunjukan bahwa 22,8% merupakan pasien dengan kategori </w:t>
      </w:r>
      <w:r w:rsidRPr="006F5884">
        <w:rPr>
          <w:iCs/>
          <w:color w:val="000000" w:themeColor="text1"/>
        </w:rPr>
        <w:t>overweight.</w:t>
      </w:r>
      <w:r>
        <w:rPr>
          <w:i w:val="0"/>
          <w:color w:val="000000" w:themeColor="text1"/>
        </w:rPr>
        <w:t xml:space="preserve"> </w:t>
      </w:r>
    </w:p>
    <w:p w14:paraId="6A19DEE1" w14:textId="6C90566D" w:rsidR="006F5884" w:rsidRDefault="006F5884" w:rsidP="006F5884">
      <w:pPr>
        <w:pStyle w:val="Addresses"/>
        <w:spacing w:line="240" w:lineRule="auto"/>
        <w:ind w:firstLine="567"/>
        <w:jc w:val="both"/>
        <w:rPr>
          <w:i w:val="0"/>
          <w:color w:val="000000" w:themeColor="text1"/>
        </w:rPr>
      </w:pPr>
      <w:r w:rsidRPr="006F5884">
        <w:rPr>
          <w:i w:val="0"/>
          <w:color w:val="000000" w:themeColor="text1"/>
        </w:rPr>
        <w:t xml:space="preserve">Berdasarkan durasi penyakit, mayoritas pasien menderita osteoartritis lebih dari 12 bulan (55,9%). Lama waktu individu penderita OA berpengaruh secara langsung terhadap penatalaksanaan terapi yang akan dipilih. Menurut </w:t>
      </w:r>
      <w:commentRangeStart w:id="12"/>
      <w:r>
        <w:rPr>
          <w:i w:val="0"/>
          <w:color w:val="000000" w:themeColor="text1"/>
        </w:rPr>
        <w:fldChar w:fldCharType="begin" w:fldLock="1"/>
      </w:r>
      <w:r>
        <w:rPr>
          <w:i w:val="0"/>
          <w:color w:val="000000" w:themeColor="text1"/>
        </w:rPr>
        <w:instrText>ADDIN CSL_CITATION {"citationItems":[{"id":"ITEM-1","itemData":{"DOI":"10.1016/j.joca.2012.02.002","ISSN":"1063-4584","author":[{"dropping-particle":"","family":"Pisters","given":"M F","non-dropping-particle":"","parse-names":false,"suffix":""},{"dropping-particle":"","family":"Veenhof","given":"C","non-dropping-particle":"","parse-names":false,"suffix":""},{"dropping-particle":"Van","family":"Dijk","given":"G M","non-dropping-particle":"","parse-names":false,"suffix":""},{"dropping-particle":"","family":"Heymans","given":"M W","non-dropping-particle":"","parse-names":false,"suffix":""},{"dropping-particle":"","family":"Twisk","given":"J W R","non-dropping-particle":"","parse-names":false,"suffix":""},{"dropping-particle":"","family":"Dekker","given":"J","non-dropping-particle":"","parse-names":false,"suffix":""}],"container-title":"Osteoarthritis and Cartilage","id":"ITEM-1","issue":"6","issued":{"date-parts":[["2012"]]},"page":"503-510","publisher":"Elsevier Ltd","title":"The course of limitations in activities over 5 years in patients with knee and hip osteoarthritis with moderate functional limitations : risk factors for future functional decline","type":"article-journal","volume":"20"},"uris":["http://www.mendeley.com/documents/?uuid=763ccff8-7382-4f16-a683-d1a357ee7618"]}],"mendeley":{"formattedCitation":"(Pisters et al., 2012)","manualFormatting":"Pisters et al., (2012)","plainTextFormattedCitation":"(Pisters et al., 2012)","previouslyFormattedCitation":"(Pisters et al., 2012)"},"properties":{"noteIndex":0},"schema":"https://github.com/citation-style-language/schema/raw/master/csl-citation.json"}</w:instrText>
      </w:r>
      <w:r>
        <w:rPr>
          <w:i w:val="0"/>
          <w:color w:val="000000" w:themeColor="text1"/>
        </w:rPr>
        <w:fldChar w:fldCharType="separate"/>
      </w:r>
      <w:r w:rsidRPr="006F5884">
        <w:rPr>
          <w:i w:val="0"/>
          <w:noProof/>
          <w:color w:val="000000" w:themeColor="text1"/>
        </w:rPr>
        <w:t xml:space="preserve">Pisters </w:t>
      </w:r>
      <w:r w:rsidRPr="006F5884">
        <w:rPr>
          <w:iCs/>
          <w:noProof/>
          <w:color w:val="000000" w:themeColor="text1"/>
        </w:rPr>
        <w:t>et al.,</w:t>
      </w:r>
      <w:r w:rsidRPr="006F5884">
        <w:rPr>
          <w:i w:val="0"/>
          <w:noProof/>
          <w:color w:val="000000" w:themeColor="text1"/>
        </w:rPr>
        <w:t xml:space="preserve"> </w:t>
      </w:r>
      <w:r>
        <w:rPr>
          <w:i w:val="0"/>
          <w:noProof/>
          <w:color w:val="000000" w:themeColor="text1"/>
        </w:rPr>
        <w:t>(</w:t>
      </w:r>
      <w:r w:rsidRPr="006F5884">
        <w:rPr>
          <w:i w:val="0"/>
          <w:noProof/>
          <w:color w:val="000000" w:themeColor="text1"/>
        </w:rPr>
        <w:t>2012)</w:t>
      </w:r>
      <w:r>
        <w:rPr>
          <w:i w:val="0"/>
          <w:color w:val="000000" w:themeColor="text1"/>
        </w:rPr>
        <w:fldChar w:fldCharType="end"/>
      </w:r>
      <w:commentRangeEnd w:id="12"/>
      <w:r w:rsidR="00040519">
        <w:rPr>
          <w:rStyle w:val="CommentReference"/>
          <w:i w:val="0"/>
          <w:kern w:val="2"/>
        </w:rPr>
        <w:commentReference w:id="12"/>
      </w:r>
      <w:r>
        <w:rPr>
          <w:i w:val="0"/>
          <w:color w:val="000000" w:themeColor="text1"/>
        </w:rPr>
        <w:t xml:space="preserve"> </w:t>
      </w:r>
      <w:r w:rsidRPr="006F5884">
        <w:rPr>
          <w:i w:val="0"/>
          <w:color w:val="000000" w:themeColor="text1"/>
        </w:rPr>
        <w:t>melaporkan bahwa durasi penyakit yang lebih panjang berkaitan dengan peningkatan keterbatasan aktivitas fungsional dan menurunnya respons terhadap terapi konservatif, di mana pasien dengan durasi gejala yang lama menunjukkan keterbatasan fungsional yang lebih berat dibandingkan mereka dengan gejala yang lebih singkat.</w:t>
      </w:r>
    </w:p>
    <w:p w14:paraId="286FCC6C" w14:textId="0BFC5371" w:rsidR="006F5884" w:rsidRDefault="006F5884" w:rsidP="006F5884">
      <w:pPr>
        <w:pStyle w:val="Addresses"/>
        <w:spacing w:line="240" w:lineRule="auto"/>
        <w:ind w:firstLine="567"/>
        <w:jc w:val="both"/>
        <w:rPr>
          <w:i w:val="0"/>
          <w:color w:val="000000" w:themeColor="text1"/>
        </w:rPr>
      </w:pPr>
      <w:r w:rsidRPr="006F5884">
        <w:rPr>
          <w:i w:val="0"/>
          <w:color w:val="000000" w:themeColor="text1"/>
        </w:rPr>
        <w:t xml:space="preserve">Jenis perawatan pada penelitian ini menunjukkan mayoritas pasien menjalani perawatan rawat jalan sebanyak 106 pasien (89,8%). Hal ini sejalan dengan temuan dari studi sebelumnya yang menyatakan bahwa sebagian besar pasien OA, termasuk OA lutut, dapat dikelola secara konservatif di instalasi rawat jalan dengan fokus pada terapi non operatif seperti olahraga, modifikasi gaya hidup, dan analgesik untuk mempertahankan fungsi sendi serta mengurangi gejala, dengan kebutuhan rawat inap yang relatif rendah kecuali pada kasus dengan komplikasi akut atau kebutuhan bedah tertentu </w:t>
      </w:r>
      <w:r>
        <w:rPr>
          <w:i w:val="0"/>
          <w:color w:val="000000" w:themeColor="text1"/>
        </w:rPr>
        <w:fldChar w:fldCharType="begin" w:fldLock="1"/>
      </w:r>
      <w:r>
        <w:rPr>
          <w:i w:val="0"/>
          <w:color w:val="000000" w:themeColor="text1"/>
        </w:rPr>
        <w:instrText>ADDIN CSL_CITATION {"citationItems":[{"id":"ITEM-1","itemData":{"DOI":"10.11622/smedj.2017097","author":[{"dropping-particle":"","family":"Relevant","given":"H O W","non-dropping-particle":"","parse-names":false,"suffix":""},{"dropping-particle":"","family":"This","given":"I S","non-dropping-particle":"","parse-names":false,"suffix":""},{"dropping-particle":"","family":"My","given":"T O","non-dropping-particle":"","parse-names":false,"suffix":""},{"dropping-particle":"","family":"Can","given":"What","non-dropping-particle":"","parse-names":false,"suffix":""},{"dropping-particle":"","family":"In","given":"I D O","non-dropping-particle":"","parse-names":false,"suffix":""},{"dropping-particle":"","family":"Practice","given":"M Y","non-dropping-particle":"","parse-names":false,"suffix":""}],"id":"ITEM-1","issue":"10","issued":{"date-parts":[["2017"]]},"page":"580-584","title":"Outpatient management of knee osteoarthritis HOW RELEVANT IS THIS TO MY","type":"article-journal","volume":"58"},"uris":["http://www.mendeley.com/documents/?uuid=04981b1d-6da3-4473-a887-a410c16070c1"]}],"mendeley":{"formattedCitation":"(Relevant et al., 2017)","plainTextFormattedCitation":"(Relevant et al., 2017)","previouslyFormattedCitation":"(Relevant et al., 2017)"},"properties":{"noteIndex":0},"schema":"https://github.com/citation-style-language/schema/raw/master/csl-citation.json"}</w:instrText>
      </w:r>
      <w:r>
        <w:rPr>
          <w:i w:val="0"/>
          <w:color w:val="000000" w:themeColor="text1"/>
        </w:rPr>
        <w:fldChar w:fldCharType="separate"/>
      </w:r>
      <w:r w:rsidRPr="006F5884">
        <w:rPr>
          <w:i w:val="0"/>
          <w:noProof/>
          <w:color w:val="000000" w:themeColor="text1"/>
        </w:rPr>
        <w:t xml:space="preserve">(Relevant </w:t>
      </w:r>
      <w:r w:rsidRPr="006F5884">
        <w:rPr>
          <w:iCs/>
          <w:noProof/>
          <w:color w:val="000000" w:themeColor="text1"/>
        </w:rPr>
        <w:lastRenderedPageBreak/>
        <w:t>et al.,</w:t>
      </w:r>
      <w:r w:rsidRPr="006F5884">
        <w:rPr>
          <w:i w:val="0"/>
          <w:noProof/>
          <w:color w:val="000000" w:themeColor="text1"/>
        </w:rPr>
        <w:t xml:space="preserve"> 2017)</w:t>
      </w:r>
      <w:r>
        <w:rPr>
          <w:i w:val="0"/>
          <w:color w:val="000000" w:themeColor="text1"/>
        </w:rPr>
        <w:fldChar w:fldCharType="end"/>
      </w:r>
      <w:r>
        <w:rPr>
          <w:i w:val="0"/>
          <w:color w:val="000000" w:themeColor="text1"/>
        </w:rPr>
        <w:t xml:space="preserve">. </w:t>
      </w:r>
    </w:p>
    <w:p w14:paraId="70F955B5" w14:textId="4823EBE5" w:rsidR="006F5884" w:rsidRDefault="006F5884" w:rsidP="006F5884">
      <w:pPr>
        <w:pStyle w:val="Addresses"/>
        <w:spacing w:line="240" w:lineRule="auto"/>
        <w:ind w:firstLine="567"/>
        <w:jc w:val="both"/>
        <w:rPr>
          <w:i w:val="0"/>
          <w:color w:val="000000" w:themeColor="text1"/>
        </w:rPr>
      </w:pPr>
      <w:r w:rsidRPr="006F5884">
        <w:rPr>
          <w:i w:val="0"/>
          <w:color w:val="000000" w:themeColor="text1"/>
        </w:rPr>
        <w:t xml:space="preserve">Durasi terapi OAINS pasien osteoartritis pada penelitian menunjukan sebagian besar pasien menerima OAINS lebih dari 3 minggu yaitu sebanyak 93 pasien (78,8%). Penelitian ini sejalan dengan penelitian </w:t>
      </w:r>
      <w:r>
        <w:rPr>
          <w:i w:val="0"/>
          <w:color w:val="000000" w:themeColor="text1"/>
        </w:rPr>
        <w:fldChar w:fldCharType="begin" w:fldLock="1"/>
      </w:r>
      <w:r>
        <w:rPr>
          <w:i w:val="0"/>
          <w:color w:val="000000" w:themeColor="text1"/>
        </w:rPr>
        <w:instrText>ADDIN CSL_CITATION {"citationItems":[{"id":"ITEM-1","itemData":{"ISBN":"6282285321","author":[{"dropping-particle":"","family":"Febrina","given":"Sherly","non-dropping-particle":"","parse-names":false,"suffix":""},{"dropping-particle":"","family":"Miro","given":"Saptino","non-dropping-particle":"","parse-names":false,"suffix":""}],"id":"ITEM-1","issued":{"date-parts":[["2023"]]},"page":"1-8","title":"Hubungan Lama Penggunaan Obat Antiinflamasi Nonsteroid dengan Kejadian Dispepsia pada Pasien Osteoartritis di Puskesmas Andalas Kota Padang","type":"article-journal"},"uris":["http://www.mendeley.com/documents/?uuid=2be4e0c7-72a1-451c-b23f-9bc48b194de4"]}],"mendeley":{"formattedCitation":"(Febrina &amp; Miro, 2023)","manualFormatting":"Febrina et al., (2023)","plainTextFormattedCitation":"(Febrina &amp; Miro, 2023)","previouslyFormattedCitation":"(Febrina &amp; Miro, 2023)"},"properties":{"noteIndex":0},"schema":"https://github.com/citation-style-language/schema/raw/master/csl-citation.json"}</w:instrText>
      </w:r>
      <w:r>
        <w:rPr>
          <w:i w:val="0"/>
          <w:color w:val="000000" w:themeColor="text1"/>
        </w:rPr>
        <w:fldChar w:fldCharType="separate"/>
      </w:r>
      <w:r w:rsidRPr="006F5884">
        <w:rPr>
          <w:i w:val="0"/>
          <w:noProof/>
          <w:color w:val="000000" w:themeColor="text1"/>
        </w:rPr>
        <w:t xml:space="preserve">Febrina </w:t>
      </w:r>
      <w:r w:rsidRPr="006F5884">
        <w:rPr>
          <w:iCs/>
          <w:noProof/>
          <w:color w:val="000000" w:themeColor="text1"/>
        </w:rPr>
        <w:t>et al</w:t>
      </w:r>
      <w:r>
        <w:rPr>
          <w:i w:val="0"/>
          <w:noProof/>
          <w:color w:val="000000" w:themeColor="text1"/>
        </w:rPr>
        <w:t>., (</w:t>
      </w:r>
      <w:r w:rsidRPr="006F5884">
        <w:rPr>
          <w:i w:val="0"/>
          <w:noProof/>
          <w:color w:val="000000" w:themeColor="text1"/>
        </w:rPr>
        <w:t>2023)</w:t>
      </w:r>
      <w:r>
        <w:rPr>
          <w:i w:val="0"/>
          <w:color w:val="000000" w:themeColor="text1"/>
        </w:rPr>
        <w:fldChar w:fldCharType="end"/>
      </w:r>
      <w:r>
        <w:rPr>
          <w:i w:val="0"/>
          <w:color w:val="000000" w:themeColor="text1"/>
        </w:rPr>
        <w:t xml:space="preserve"> </w:t>
      </w:r>
      <w:r w:rsidRPr="006F5884">
        <w:rPr>
          <w:i w:val="0"/>
          <w:color w:val="000000" w:themeColor="text1"/>
        </w:rPr>
        <w:t xml:space="preserve">di Puskesmas Andalas Kota Padang tahun 2023 menunjukan bahwa durasi pemakaian OAINS dominan lebih dari 3 minggu sebanyak 42 pasien (56,8%), hal ini didasari oleh karakteristik osteoartritis sebagai penyakit sendi kronis yang memerlukan penatalaksanaan jangka panjang, di mana nyeri bersifat menetap atau dapat berulang dan berlangsung lebih dari tiga bulan. Penggunaan OAINS jangka panjang berpotensi menimbulkan efek samping serius, terutama pada saluran pencernaan, sistem kardiovaskular, dan fungsi ginjal. Bukti dari studi longitudinal menunjukkan bahwa penggunaan OAINS dalam jangka panjang dikaitkan dengan peningkatan kejadian komplikasi gastrointestinal seperti perdarahan lambung, ulkus peptikum, dan dispepsia, serta peningkatan risiko kejadian kardiovaskular dan gangguan fungsi ginjal akibat penghambatan prostaglandin yang berperan dalam melindungi mukosa lambung dan mempertahankan perfusi ginjal </w:t>
      </w:r>
      <w:r>
        <w:rPr>
          <w:i w:val="0"/>
          <w:color w:val="000000" w:themeColor="text1"/>
        </w:rPr>
        <w:fldChar w:fldCharType="begin" w:fldLock="1"/>
      </w:r>
      <w:r>
        <w:rPr>
          <w:i w:val="0"/>
          <w:color w:val="000000" w:themeColor="text1"/>
        </w:rPr>
        <w:instrText>ADDIN CSL_CITATION {"citationItems":[{"id":"ITEM-1","itemData":{"DOI":"10.1038/s41598-024-56665-3","ISBN":"0123456789","ISSN":"2045-2322","author":[{"dropping-particle":"","family":"Salis","given":"Zubeyir","non-dropping-particle":"","parse-names":false,"suffix":""},{"dropping-particle":"","family":"Sainsbury","given":"Amanda","non-dropping-particle":"","parse-names":false,"suffix":""}],"container-title":"Scientific Reports","id":"ITEM-1","issued":{"date-parts":[["2024"]]},"page":"1-12","publisher":"Nature Publishing Group UK","title":"Association of long ‑ term use of non ‑ steroidal anti ‑ inflammatory drugs with knee osteoarthritis : a prospective multi ‑ cohort study over 4 ‑ to ‑ 5 years","type":"article-journal"},"uris":["http://www.mendeley.com/documents/?uuid=6edd7d1b-9569-47b5-8c89-fe6ec60845ab"]}],"mendeley":{"formattedCitation":"(Salis &amp; Sainsbury, 2024)","manualFormatting":"(Salis et al., 2024)","plainTextFormattedCitation":"(Salis &amp; Sainsbury, 2024)","previouslyFormattedCitation":"(Salis &amp; Sainsbury, 2024)"},"properties":{"noteIndex":0},"schema":"https://github.com/citation-style-language/schema/raw/master/csl-citation.json"}</w:instrText>
      </w:r>
      <w:r>
        <w:rPr>
          <w:i w:val="0"/>
          <w:color w:val="000000" w:themeColor="text1"/>
        </w:rPr>
        <w:fldChar w:fldCharType="separate"/>
      </w:r>
      <w:r w:rsidRPr="006F5884">
        <w:rPr>
          <w:iCs/>
          <w:noProof/>
          <w:color w:val="000000" w:themeColor="text1"/>
        </w:rPr>
        <w:t>(</w:t>
      </w:r>
      <w:r w:rsidRPr="00040519">
        <w:rPr>
          <w:i w:val="0"/>
          <w:iCs/>
          <w:noProof/>
          <w:color w:val="000000" w:themeColor="text1"/>
        </w:rPr>
        <w:t>Salis</w:t>
      </w:r>
      <w:r w:rsidRPr="006F5884">
        <w:rPr>
          <w:iCs/>
          <w:noProof/>
          <w:color w:val="000000" w:themeColor="text1"/>
        </w:rPr>
        <w:t xml:space="preserve"> et al.</w:t>
      </w:r>
      <w:r w:rsidRPr="006F5884">
        <w:rPr>
          <w:i w:val="0"/>
          <w:noProof/>
          <w:color w:val="000000" w:themeColor="text1"/>
        </w:rPr>
        <w:t>, 2024)</w:t>
      </w:r>
      <w:r>
        <w:rPr>
          <w:i w:val="0"/>
          <w:color w:val="000000" w:themeColor="text1"/>
        </w:rPr>
        <w:fldChar w:fldCharType="end"/>
      </w:r>
      <w:r>
        <w:rPr>
          <w:i w:val="0"/>
          <w:color w:val="000000" w:themeColor="text1"/>
        </w:rPr>
        <w:t xml:space="preserve">. </w:t>
      </w:r>
    </w:p>
    <w:p w14:paraId="7260B423" w14:textId="3515A0D2" w:rsidR="006F5884" w:rsidRDefault="006F5884" w:rsidP="006F5884">
      <w:pPr>
        <w:pStyle w:val="Addresses"/>
        <w:spacing w:line="240" w:lineRule="auto"/>
        <w:ind w:firstLine="567"/>
        <w:jc w:val="both"/>
        <w:rPr>
          <w:i w:val="0"/>
          <w:color w:val="000000" w:themeColor="text1"/>
        </w:rPr>
      </w:pPr>
      <w:r w:rsidRPr="006F5884">
        <w:rPr>
          <w:i w:val="0"/>
          <w:color w:val="000000" w:themeColor="text1"/>
        </w:rPr>
        <w:t xml:space="preserve">Mayoritas pasien osteoartritis di RS X Kudus mendapatkan terapi obat anti inflamasi non steroid golongan COX-2 selektif sebanyak 74 pasien (62,7%) sedangkan pada golongan non selektif sebanyak 44 pasien (37,3%). Hasil penelitian ini sesuai dengan penelitian yang dilakukan oleh  </w:t>
      </w:r>
      <w:r>
        <w:rPr>
          <w:i w:val="0"/>
          <w:color w:val="000000" w:themeColor="text1"/>
        </w:rPr>
        <w:fldChar w:fldCharType="begin" w:fldLock="1"/>
      </w:r>
      <w:r>
        <w:rPr>
          <w:i w:val="0"/>
          <w:color w:val="000000" w:themeColor="text1"/>
        </w:rPr>
        <w:instrText>ADDIN CSL_CITATION {"citationItems":[{"id":"ITEM-1","itemData":{"DOI":"https://doi.org/10.59841/an-najat.v3i1.2239","author":[{"dropping-particle":"","family":"Fatoni","given":"Isyna Hida; Rismi","non-dropping-particle":"","parse-names":false,"suffix":""}],"id":"ITEM-1","issued":{"date-parts":[["2024"]]},"title":"Gambaran Penggunaan Obat Antiinflamasi Non Steroid Pada Pasien Penderita Osteoarthritis di Instalasi Rawat Jalan RSUD Kajen Periode Januari – Oktober 2024 “ Gambaran Penggunaan Obat Antiinflamasi Non Steroid Pada Pasien Pe nderita Osteoarthritis di Instal","type":"article-journal"},"uris":["http://www.mendeley.com/documents/?uuid=42be834a-a688-42d6-ba11-6658b72a3ec4"]}],"mendeley":{"formattedCitation":"(Fatoni, 2024)","manualFormatting":"Fatoni (2024)","plainTextFormattedCitation":"(Fatoni, 2024)","previouslyFormattedCitation":"(Fatoni, 2024)"},"properties":{"noteIndex":0},"schema":"https://github.com/citation-style-language/schema/raw/master/csl-citation.json"}</w:instrText>
      </w:r>
      <w:r>
        <w:rPr>
          <w:i w:val="0"/>
          <w:color w:val="000000" w:themeColor="text1"/>
        </w:rPr>
        <w:fldChar w:fldCharType="separate"/>
      </w:r>
      <w:r w:rsidRPr="006F5884">
        <w:rPr>
          <w:i w:val="0"/>
          <w:noProof/>
          <w:color w:val="000000" w:themeColor="text1"/>
        </w:rPr>
        <w:t>Fatoni</w:t>
      </w:r>
      <w:r>
        <w:rPr>
          <w:i w:val="0"/>
          <w:noProof/>
          <w:color w:val="000000" w:themeColor="text1"/>
        </w:rPr>
        <w:t xml:space="preserve"> (</w:t>
      </w:r>
      <w:r w:rsidRPr="006F5884">
        <w:rPr>
          <w:i w:val="0"/>
          <w:noProof/>
          <w:color w:val="000000" w:themeColor="text1"/>
        </w:rPr>
        <w:t>2024)</w:t>
      </w:r>
      <w:r>
        <w:rPr>
          <w:i w:val="0"/>
          <w:color w:val="000000" w:themeColor="text1"/>
        </w:rPr>
        <w:fldChar w:fldCharType="end"/>
      </w:r>
      <w:r>
        <w:rPr>
          <w:i w:val="0"/>
          <w:color w:val="000000" w:themeColor="text1"/>
        </w:rPr>
        <w:t xml:space="preserve"> </w:t>
      </w:r>
      <w:r w:rsidRPr="006F5884">
        <w:rPr>
          <w:i w:val="0"/>
          <w:color w:val="000000" w:themeColor="text1"/>
        </w:rPr>
        <w:t xml:space="preserve">di RSUD Kajen, yaitu golongan obat anti inflamasi non steroid yang paling digunakan yaitu COX-2 selektif sebanyak 269 pasien (89,67%). Berbagai tinjauan dan meta-analisis menunjukkan bahwa OAINS selektif COX-2 umumnya memiliki risiko komplikasi GI yang lebih rendah dibandingkan OAINS non-selektif, terutama pada pasien dengan faktor risiko gastrointestinal tinggi, seperti usia lanjut, riwayat ulkus, atau penggunaan obat lain yang memengaruhi mukosa lambung </w:t>
      </w:r>
      <w:r>
        <w:rPr>
          <w:i w:val="0"/>
          <w:color w:val="000000" w:themeColor="text1"/>
        </w:rPr>
        <w:fldChar w:fldCharType="begin" w:fldLock="1"/>
      </w:r>
      <w:r w:rsidR="002C49C2">
        <w:rPr>
          <w:i w:val="0"/>
          <w:color w:val="000000" w:themeColor="text1"/>
        </w:rPr>
        <w:instrText>ADDIN CSL_CITATION {"citationItems":[{"id":"ITEM-1","itemData":{"DOI":"10.1007/s40265-025-02234-5","ISBN":"0123456789","ISSN":"1179-1950","author":[{"dropping-particle":"","family":"Beaudart","given":"Charlotte","non-dropping-particle":"","parse-names":false,"suffix":""},{"dropping-particle":"","family":"Brabant","given":"Christian","non-dropping-particle":"","parse-names":false,"suffix":""},{"dropping-particle":"","family":"Alokail","given":"Majed","non-dropping-particle":"","parse-names":false,"suffix":""},{"dropping-particle":"","family":"Yves","given":"Jean","non-dropping-particle":"","parse-names":false,"suffix":""},{"dropping-particle":"","family":"Olivier","given":"Reginster","non-dropping-particle":"","parse-names":false,"suffix":""}],"container-title":"Drugs","id":"ITEM-1","issue":"10","issued":{"date-parts":[["2025"]]},"page":"1289-1306","publisher":"Springer International Publishing","title":"Current Evidence on Celecoxib Safety in the Management of Chronic Musculoskeletal Conditions : An Umbrella Review","type":"article-journal","volume":"85"},"uris":["http://www.mendeley.com/documents/?uuid=0d888e92-9110-4306-a57f-21aa4933b1c4"]}],"mendeley":{"formattedCitation":"(Beaudart et al., 2025)","plainTextFormattedCitation":"(Beaudart et al., 2025)","previouslyFormattedCitation":"(Beaudart et al., 2025)"},"properties":{"noteIndex":0},"schema":"https://github.com/citation-style-language/schema/raw/master/csl-citation.json"}</w:instrText>
      </w:r>
      <w:r>
        <w:rPr>
          <w:i w:val="0"/>
          <w:color w:val="000000" w:themeColor="text1"/>
        </w:rPr>
        <w:fldChar w:fldCharType="separate"/>
      </w:r>
      <w:r w:rsidRPr="006F5884">
        <w:rPr>
          <w:i w:val="0"/>
          <w:noProof/>
          <w:color w:val="000000" w:themeColor="text1"/>
        </w:rPr>
        <w:t xml:space="preserve">(Beaudart </w:t>
      </w:r>
      <w:r w:rsidRPr="006F5884">
        <w:rPr>
          <w:iCs/>
          <w:noProof/>
          <w:color w:val="000000" w:themeColor="text1"/>
        </w:rPr>
        <w:t>et al.,</w:t>
      </w:r>
      <w:r w:rsidRPr="006F5884">
        <w:rPr>
          <w:i w:val="0"/>
          <w:noProof/>
          <w:color w:val="000000" w:themeColor="text1"/>
        </w:rPr>
        <w:t xml:space="preserve"> 2025)</w:t>
      </w:r>
      <w:r>
        <w:rPr>
          <w:i w:val="0"/>
          <w:color w:val="000000" w:themeColor="text1"/>
        </w:rPr>
        <w:fldChar w:fldCharType="end"/>
      </w:r>
      <w:r w:rsidRPr="006F5884">
        <w:rPr>
          <w:i w:val="0"/>
          <w:color w:val="000000" w:themeColor="text1"/>
        </w:rPr>
        <w:t>.</w:t>
      </w:r>
      <w:r>
        <w:rPr>
          <w:i w:val="0"/>
          <w:color w:val="000000" w:themeColor="text1"/>
        </w:rPr>
        <w:t xml:space="preserve"> </w:t>
      </w:r>
    </w:p>
    <w:p w14:paraId="0ADE83F2" w14:textId="461CA751" w:rsidR="006F5884" w:rsidRDefault="006F5884" w:rsidP="006F5884">
      <w:pPr>
        <w:pStyle w:val="Addresses"/>
        <w:spacing w:line="240" w:lineRule="auto"/>
        <w:ind w:firstLine="567"/>
        <w:jc w:val="both"/>
        <w:rPr>
          <w:i w:val="0"/>
          <w:color w:val="000000" w:themeColor="text1"/>
        </w:rPr>
      </w:pPr>
      <w:r w:rsidRPr="006F5884">
        <w:rPr>
          <w:i w:val="0"/>
          <w:color w:val="000000" w:themeColor="text1"/>
        </w:rPr>
        <w:t xml:space="preserve">Berdasarkan komorbiditas, diperoleh data pasien osteoartritis dengan penyakit </w:t>
      </w:r>
      <w:r w:rsidRPr="006F5884">
        <w:rPr>
          <w:i w:val="0"/>
          <w:color w:val="000000" w:themeColor="text1"/>
        </w:rPr>
        <w:t>penyerta tertinggi yaitu hipertensi sebanyak 24 pasien (20,3%).</w:t>
      </w:r>
      <w:r w:rsidR="002C49C2">
        <w:rPr>
          <w:i w:val="0"/>
          <w:color w:val="000000" w:themeColor="text1"/>
        </w:rPr>
        <w:t xml:space="preserve"> </w:t>
      </w:r>
      <w:r w:rsidRPr="006F5884">
        <w:rPr>
          <w:i w:val="0"/>
          <w:color w:val="000000" w:themeColor="text1"/>
        </w:rPr>
        <w:t xml:space="preserve">Hasil penelitian ini telah sesuai dengan penelitian oleh </w:t>
      </w:r>
      <w:r w:rsidR="002C49C2">
        <w:rPr>
          <w:i w:val="0"/>
          <w:color w:val="000000" w:themeColor="text1"/>
        </w:rPr>
        <w:fldChar w:fldCharType="begin" w:fldLock="1"/>
      </w:r>
      <w:r w:rsidR="002C49C2">
        <w:rPr>
          <w:i w:val="0"/>
          <w:color w:val="000000" w:themeColor="text1"/>
        </w:rPr>
        <w:instrText>ADDIN CSL_CITATION {"citationItems":[{"id":"ITEM-1","itemData":{"DOI":"https://doi.org/10.59841/an-najat.v3i1.2239","author":[{"dropping-particle":"","family":"Fatoni","given":"Isyna Hida; Rismi","non-dropping-particle":"","parse-names":false,"suffix":""}],"id":"ITEM-1","issued":{"date-parts":[["2024"]]},"title":"Gambaran Penggunaan Obat Antiinflamasi Non Steroid Pada Pasien Penderita Osteoarthritis di Instalasi Rawat Jalan RSUD Kajen Periode Januari – Oktober 2024 “ Gambaran Penggunaan Obat Antiinflamasi Non Steroid Pada Pasien Pe nderita Osteoarthritis di Instal","type":"article-journal"},"uris":["http://www.mendeley.com/documents/?uuid=42be834a-a688-42d6-ba11-6658b72a3ec4"]}],"mendeley":{"formattedCitation":"(Fatoni, 2024)","manualFormatting":"Fatoni (2024)","plainTextFormattedCitation":"(Fatoni, 2024)","previouslyFormattedCitation":"(Fatoni, 2024)"},"properties":{"noteIndex":0},"schema":"https://github.com/citation-style-language/schema/raw/master/csl-citation.json"}</w:instrText>
      </w:r>
      <w:r w:rsidR="002C49C2">
        <w:rPr>
          <w:i w:val="0"/>
          <w:color w:val="000000" w:themeColor="text1"/>
        </w:rPr>
        <w:fldChar w:fldCharType="separate"/>
      </w:r>
      <w:r w:rsidR="002C49C2" w:rsidRPr="002C49C2">
        <w:rPr>
          <w:i w:val="0"/>
          <w:noProof/>
          <w:color w:val="000000" w:themeColor="text1"/>
        </w:rPr>
        <w:t>Fatoni</w:t>
      </w:r>
      <w:r w:rsidR="002C49C2">
        <w:rPr>
          <w:i w:val="0"/>
          <w:noProof/>
          <w:color w:val="000000" w:themeColor="text1"/>
        </w:rPr>
        <w:t xml:space="preserve"> (</w:t>
      </w:r>
      <w:r w:rsidR="002C49C2" w:rsidRPr="002C49C2">
        <w:rPr>
          <w:i w:val="0"/>
          <w:noProof/>
          <w:color w:val="000000" w:themeColor="text1"/>
        </w:rPr>
        <w:t>2024)</w:t>
      </w:r>
      <w:r w:rsidR="002C49C2">
        <w:rPr>
          <w:i w:val="0"/>
          <w:color w:val="000000" w:themeColor="text1"/>
        </w:rPr>
        <w:fldChar w:fldCharType="end"/>
      </w:r>
      <w:r w:rsidR="002C49C2">
        <w:rPr>
          <w:i w:val="0"/>
          <w:color w:val="000000" w:themeColor="text1"/>
        </w:rPr>
        <w:t xml:space="preserve"> </w:t>
      </w:r>
      <w:r w:rsidRPr="006F5884">
        <w:rPr>
          <w:i w:val="0"/>
          <w:color w:val="000000" w:themeColor="text1"/>
        </w:rPr>
        <w:t xml:space="preserve">hipertensi merupakan salah satu faktor risiko yang berperan dalam terjadinya nyeri berulang pada pasien osteoartritis, yang diduga berkaitan dengan terjadinya kerusakan vaskular yang memengaruhi perfusi jaringan sendi. Menurut </w:t>
      </w:r>
      <w:r w:rsidR="002C49C2">
        <w:rPr>
          <w:i w:val="0"/>
          <w:color w:val="000000" w:themeColor="text1"/>
        </w:rPr>
        <w:fldChar w:fldCharType="begin" w:fldLock="1"/>
      </w:r>
      <w:r w:rsidR="002C49C2">
        <w:rPr>
          <w:i w:val="0"/>
          <w:color w:val="000000" w:themeColor="text1"/>
        </w:rPr>
        <w:instrText>ADDIN CSL_CITATION {"citationItems":[{"id":"ITEM-1","itemData":{"author":[{"dropping-particle":"","family":"Fransisco","given":"Melkior Michael","non-dropping-particle":"","parse-names":false,"suffix":""},{"dropping-particle":"","family":"Widjaya","given":"Inge Friska","non-dropping-particle":"","parse-names":false,"suffix":""}],"id":"ITEM-1","issue":"1","issued":{"date-parts":[["2024"]]},"page":"87-92","title":"Hubungan hipertensi dengan osteoarthritis genu ( radiografi konvensional ) di RS Royal Taruma Jakarta Barat","type":"article-journal","volume":"6"},"uris":["http://www.mendeley.com/documents/?uuid=b8acde78-5679-434c-9fcd-22241884677a"]}],"mendeley":{"formattedCitation":"(Fransisco &amp; Widjaya, 2024)","manualFormatting":"Fransisco et al., (2024)","plainTextFormattedCitation":"(Fransisco &amp; Widjaya, 2024)","previouslyFormattedCitation":"(Fransisco &amp; Widjaya, 2024)"},"properties":{"noteIndex":0},"schema":"https://github.com/citation-style-language/schema/raw/master/csl-citation.json"}</w:instrText>
      </w:r>
      <w:r w:rsidR="002C49C2">
        <w:rPr>
          <w:i w:val="0"/>
          <w:color w:val="000000" w:themeColor="text1"/>
        </w:rPr>
        <w:fldChar w:fldCharType="separate"/>
      </w:r>
      <w:r w:rsidR="002C49C2" w:rsidRPr="00040519">
        <w:rPr>
          <w:i w:val="0"/>
          <w:iCs/>
          <w:noProof/>
          <w:color w:val="000000" w:themeColor="text1"/>
        </w:rPr>
        <w:t>Fransisco</w:t>
      </w:r>
      <w:r w:rsidR="002C49C2" w:rsidRPr="002C49C2">
        <w:rPr>
          <w:iCs/>
          <w:noProof/>
          <w:color w:val="000000" w:themeColor="text1"/>
        </w:rPr>
        <w:t xml:space="preserve"> et al.,</w:t>
      </w:r>
      <w:r w:rsidR="002C49C2" w:rsidRPr="002C49C2">
        <w:rPr>
          <w:i w:val="0"/>
          <w:noProof/>
          <w:color w:val="000000" w:themeColor="text1"/>
        </w:rPr>
        <w:t xml:space="preserve"> </w:t>
      </w:r>
      <w:r w:rsidR="002C49C2">
        <w:rPr>
          <w:i w:val="0"/>
          <w:noProof/>
          <w:color w:val="000000" w:themeColor="text1"/>
        </w:rPr>
        <w:t>(</w:t>
      </w:r>
      <w:r w:rsidR="002C49C2" w:rsidRPr="002C49C2">
        <w:rPr>
          <w:i w:val="0"/>
          <w:noProof/>
          <w:color w:val="000000" w:themeColor="text1"/>
        </w:rPr>
        <w:t>2024)</w:t>
      </w:r>
      <w:r w:rsidR="002C49C2">
        <w:rPr>
          <w:i w:val="0"/>
          <w:color w:val="000000" w:themeColor="text1"/>
        </w:rPr>
        <w:fldChar w:fldCharType="end"/>
      </w:r>
      <w:r w:rsidRPr="006F5884">
        <w:rPr>
          <w:i w:val="0"/>
          <w:color w:val="000000" w:themeColor="text1"/>
        </w:rPr>
        <w:t xml:space="preserve"> menyatakan bahwa beberapa golongan obat antihipertensi diketahui memiliki pengaruh terhadap kejadian dan progresivitas osteoartritis, baik dalam memperberat kondisi penyakit maupun memberikan efek protektif terhadap perkembangan osteoartritis.</w:t>
      </w:r>
      <w:r w:rsidR="002C49C2">
        <w:rPr>
          <w:i w:val="0"/>
          <w:color w:val="000000" w:themeColor="text1"/>
        </w:rPr>
        <w:t xml:space="preserve"> </w:t>
      </w:r>
    </w:p>
    <w:p w14:paraId="08E004C0" w14:textId="1D46ACD5" w:rsidR="002C49C2" w:rsidRDefault="002C49C2" w:rsidP="006F5884">
      <w:pPr>
        <w:pStyle w:val="Addresses"/>
        <w:spacing w:line="240" w:lineRule="auto"/>
        <w:ind w:firstLine="567"/>
        <w:jc w:val="both"/>
        <w:rPr>
          <w:i w:val="0"/>
          <w:color w:val="000000" w:themeColor="text1"/>
        </w:rPr>
      </w:pPr>
      <w:r w:rsidRPr="002C49C2">
        <w:rPr>
          <w:i w:val="0"/>
          <w:color w:val="000000" w:themeColor="text1"/>
        </w:rPr>
        <w:t>Penggunaan obat lainnya yang dikonsumsi oleh pasien dengan diagnosis osteoatritis di dominasi oleh suplemen sebanyak 51 pasien (43,2%). Di RS X Kudus Sebagian besar pasien mendapatkan glukosamin. Pemberian glukosamin berhubungan dengan perbaikan tingkat nyeri pada pasien osteoartritis. Glukosamin diketahui mampu memperlambat penyempitan celah sendi serta memberikan efek perbaikan pada struktur celah sendi. Efektivitas glukosamin dalam pencegahan primer osteoartritis berkaitan dengan sifat kondroprotektifnya yang berperan dalam mencegah degradasi tulang rawan</w:t>
      </w:r>
      <w:r>
        <w:rPr>
          <w:i w:val="0"/>
          <w:color w:val="000000" w:themeColor="text1"/>
        </w:rPr>
        <w:t xml:space="preserve"> </w:t>
      </w:r>
      <w:r>
        <w:rPr>
          <w:i w:val="0"/>
          <w:color w:val="000000" w:themeColor="text1"/>
        </w:rPr>
        <w:fldChar w:fldCharType="begin" w:fldLock="1"/>
      </w:r>
      <w:r w:rsidR="009D1F2B">
        <w:rPr>
          <w:i w:val="0"/>
          <w:color w:val="000000" w:themeColor="text1"/>
        </w:rPr>
        <w:instrText>ADDIN CSL_CITATION {"citationItems":[{"id":"ITEM-1","itemData":{"author":[{"dropping-particle":"","family":"Febriantara","given":"M Kaisar","non-dropping-particle":"","parse-names":false,"suffix":""},{"dropping-particle":"","family":"Pestalozi","given":"George","non-dropping-particle":"","parse-names":false,"suffix":""},{"dropping-particle":"","family":"Ismunandar","given":"Helmi","non-dropping-particle":"","parse-names":false,"suffix":""},{"dropping-particle":"","family":"Kedokteran","given":"Fakultas","non-dropping-particle":"","parse-names":false,"suffix":""},{"dropping-particle":"","family":"Lampung","given":"Universitas","non-dropping-particle":"","parse-names":false,"suffix":""},{"dropping-particle":"","family":"Klinik","given":"Bagian Patologi","non-dropping-particle":"","parse-names":false,"suffix":""},{"dropping-particle":"","family":"Kedokteran","given":"Fakultas","non-dropping-particle":"","parse-names":false,"suffix":""},{"dropping-particle":"","family":"Lampung","given":"Universitas","non-dropping-particle":"","parse-names":false,"suffix":""},{"dropping-particle":"","family":"Bedah","given":"Bagian","non-dropping-particle":"","parse-names":false,"suffix":""},{"dropping-particle":"","family":"Kedokteran","given":"Fakultas","non-dropping-particle":"","parse-names":false,"suffix":""},{"dropping-particle":"","family":"Lampung","given":"Universitas","non-dropping-particle":"","parse-names":false,"suffix":""}],"id":"ITEM-1","issued":{"date-parts":[["2020"]]},"page":"120-125","title":"Peran Suplementasi Glukosamin Dan Kondroitin dalam Penanganan Osteoartritis The Role of Glucosamine and Chondroitin Supplementation in the Management of Osteoarthritis","type":"article-journal","volume":"16"},"uris":["http://www.mendeley.com/documents/?uuid=14871f52-0ef0-429b-af16-4e6d2ec5dfdb"]}],"mendeley":{"formattedCitation":"(Febriantara et al., 2020)","plainTextFormattedCitation":"(Febriantara et al., 2020)","previouslyFormattedCitation":"(Febriantara et al., 2020)"},"properties":{"noteIndex":0},"schema":"https://github.com/citation-style-language/schema/raw/master/csl-citation.json"}</w:instrText>
      </w:r>
      <w:r>
        <w:rPr>
          <w:i w:val="0"/>
          <w:color w:val="000000" w:themeColor="text1"/>
        </w:rPr>
        <w:fldChar w:fldCharType="separate"/>
      </w:r>
      <w:r w:rsidRPr="002C49C2">
        <w:rPr>
          <w:i w:val="0"/>
          <w:noProof/>
          <w:color w:val="000000" w:themeColor="text1"/>
        </w:rPr>
        <w:t xml:space="preserve">(Febriantara </w:t>
      </w:r>
      <w:r w:rsidRPr="002C49C2">
        <w:rPr>
          <w:iCs/>
          <w:noProof/>
          <w:color w:val="000000" w:themeColor="text1"/>
        </w:rPr>
        <w:t>et al.</w:t>
      </w:r>
      <w:r w:rsidRPr="002C49C2">
        <w:rPr>
          <w:i w:val="0"/>
          <w:noProof/>
          <w:color w:val="000000" w:themeColor="text1"/>
        </w:rPr>
        <w:t>, 2020)</w:t>
      </w:r>
      <w:r>
        <w:rPr>
          <w:i w:val="0"/>
          <w:color w:val="000000" w:themeColor="text1"/>
        </w:rPr>
        <w:fldChar w:fldCharType="end"/>
      </w:r>
      <w:r>
        <w:rPr>
          <w:i w:val="0"/>
          <w:color w:val="000000" w:themeColor="text1"/>
        </w:rPr>
        <w:t xml:space="preserve">. </w:t>
      </w:r>
    </w:p>
    <w:p w14:paraId="6CF2E808" w14:textId="77777777" w:rsidR="002C49C2" w:rsidRDefault="002C49C2" w:rsidP="002C49C2">
      <w:pPr>
        <w:pStyle w:val="Addresses"/>
        <w:spacing w:line="240" w:lineRule="auto"/>
        <w:jc w:val="both"/>
        <w:rPr>
          <w:i w:val="0"/>
          <w:color w:val="000000" w:themeColor="text1"/>
        </w:rPr>
      </w:pPr>
    </w:p>
    <w:p w14:paraId="7DE38B81" w14:textId="62632FA1" w:rsidR="002C49C2" w:rsidRPr="002C49C2" w:rsidRDefault="002C49C2" w:rsidP="002C49C2">
      <w:pPr>
        <w:pStyle w:val="Addresses"/>
        <w:spacing w:line="240" w:lineRule="auto"/>
        <w:jc w:val="both"/>
        <w:rPr>
          <w:b/>
          <w:bCs/>
          <w:i w:val="0"/>
          <w:color w:val="000000" w:themeColor="text1"/>
        </w:rPr>
      </w:pPr>
      <w:r w:rsidRPr="002C49C2">
        <w:rPr>
          <w:b/>
          <w:bCs/>
          <w:i w:val="0"/>
          <w:color w:val="000000" w:themeColor="text1"/>
        </w:rPr>
        <w:t>Profil Penggunaan OAINS</w:t>
      </w:r>
    </w:p>
    <w:p w14:paraId="2171D6FD" w14:textId="034C5D58" w:rsidR="003D41E9" w:rsidRDefault="002C49C2" w:rsidP="002C49C2">
      <w:pPr>
        <w:pStyle w:val="Addresses"/>
        <w:spacing w:line="240" w:lineRule="auto"/>
        <w:rPr>
          <w:i w:val="0"/>
          <w:color w:val="000000" w:themeColor="text1"/>
        </w:rPr>
      </w:pPr>
      <w:r w:rsidRPr="002C49C2">
        <w:rPr>
          <w:i w:val="0"/>
          <w:color w:val="000000" w:themeColor="text1"/>
        </w:rPr>
        <w:t>Tabel 2. Profil penggunaan OAINS</w:t>
      </w:r>
    </w:p>
    <w:tbl>
      <w:tblPr>
        <w:tblStyle w:val="PlainTable23"/>
        <w:tblW w:w="4502" w:type="dxa"/>
        <w:tblLook w:val="0720" w:firstRow="1" w:lastRow="0" w:firstColumn="0" w:lastColumn="1" w:noHBand="1" w:noVBand="1"/>
      </w:tblPr>
      <w:tblGrid>
        <w:gridCol w:w="1310"/>
        <w:gridCol w:w="958"/>
        <w:gridCol w:w="925"/>
        <w:gridCol w:w="1309"/>
      </w:tblGrid>
      <w:tr w:rsidR="002C49C2" w14:paraId="18742344" w14:textId="77777777" w:rsidTr="007A5ECB">
        <w:trPr>
          <w:cnfStyle w:val="100000000000" w:firstRow="1" w:lastRow="0" w:firstColumn="0" w:lastColumn="0" w:oddVBand="0" w:evenVBand="0" w:oddHBand="0" w:evenHBand="0" w:firstRowFirstColumn="0" w:firstRowLastColumn="0" w:lastRowFirstColumn="0" w:lastRowLastColumn="0"/>
        </w:trPr>
        <w:tc>
          <w:tcPr>
            <w:tcW w:w="1310" w:type="dxa"/>
          </w:tcPr>
          <w:p w14:paraId="58543508" w14:textId="1E593749" w:rsidR="002C49C2" w:rsidRPr="002C49C2" w:rsidRDefault="002C49C2" w:rsidP="001D711C">
            <w:pPr>
              <w:pStyle w:val="Addresses"/>
              <w:spacing w:line="240" w:lineRule="auto"/>
              <w:rPr>
                <w:b w:val="0"/>
                <w:bCs w:val="0"/>
                <w:i w:val="0"/>
                <w:color w:val="000000" w:themeColor="text1"/>
              </w:rPr>
            </w:pPr>
            <w:bookmarkStart w:id="13" w:name="_Hlk222593036"/>
            <w:r w:rsidRPr="002C49C2">
              <w:rPr>
                <w:b w:val="0"/>
                <w:bCs w:val="0"/>
                <w:i w:val="0"/>
                <w:color w:val="000000" w:themeColor="text1"/>
              </w:rPr>
              <w:t>Jenis OAINS</w:t>
            </w:r>
          </w:p>
        </w:tc>
        <w:tc>
          <w:tcPr>
            <w:tcW w:w="958" w:type="dxa"/>
          </w:tcPr>
          <w:p w14:paraId="31834BE0" w14:textId="71B6072D" w:rsidR="002C49C2" w:rsidRPr="002C49C2" w:rsidRDefault="002C49C2" w:rsidP="001D711C">
            <w:pPr>
              <w:pStyle w:val="Addresses"/>
              <w:spacing w:line="240" w:lineRule="auto"/>
              <w:rPr>
                <w:b w:val="0"/>
                <w:bCs w:val="0"/>
                <w:i w:val="0"/>
                <w:color w:val="000000" w:themeColor="text1"/>
              </w:rPr>
            </w:pPr>
            <w:r w:rsidRPr="002C49C2">
              <w:rPr>
                <w:b w:val="0"/>
                <w:bCs w:val="0"/>
                <w:i w:val="0"/>
                <w:color w:val="000000" w:themeColor="text1"/>
              </w:rPr>
              <w:t>Dosis</w:t>
            </w:r>
          </w:p>
        </w:tc>
        <w:tc>
          <w:tcPr>
            <w:tcW w:w="925" w:type="dxa"/>
          </w:tcPr>
          <w:p w14:paraId="07E20690" w14:textId="77777777" w:rsidR="002C49C2" w:rsidRPr="002C49C2" w:rsidRDefault="002C49C2" w:rsidP="001D711C">
            <w:pPr>
              <w:pStyle w:val="Addresses"/>
              <w:spacing w:line="240" w:lineRule="auto"/>
              <w:rPr>
                <w:b w:val="0"/>
                <w:bCs w:val="0"/>
                <w:i w:val="0"/>
                <w:color w:val="000000" w:themeColor="text1"/>
              </w:rPr>
            </w:pPr>
            <w:r w:rsidRPr="002C49C2">
              <w:rPr>
                <w:b w:val="0"/>
                <w:bCs w:val="0"/>
                <w:i w:val="0"/>
                <w:color w:val="000000" w:themeColor="text1"/>
              </w:rPr>
              <w:t>Kasus</w:t>
            </w:r>
          </w:p>
          <w:p w14:paraId="15028D4B" w14:textId="0ECF9333" w:rsidR="002C49C2" w:rsidRPr="002C49C2" w:rsidRDefault="002C49C2" w:rsidP="001D711C">
            <w:pPr>
              <w:pStyle w:val="Addresses"/>
              <w:spacing w:line="240" w:lineRule="auto"/>
              <w:rPr>
                <w:b w:val="0"/>
                <w:bCs w:val="0"/>
                <w:i w:val="0"/>
                <w:color w:val="000000" w:themeColor="text1"/>
              </w:rPr>
            </w:pPr>
            <w:r w:rsidRPr="002C49C2">
              <w:rPr>
                <w:b w:val="0"/>
                <w:bCs w:val="0"/>
                <w:i w:val="0"/>
                <w:color w:val="000000" w:themeColor="text1"/>
              </w:rPr>
              <w:t>(N)</w:t>
            </w:r>
          </w:p>
        </w:tc>
        <w:tc>
          <w:tcPr>
            <w:cnfStyle w:val="000100000000" w:firstRow="0" w:lastRow="0" w:firstColumn="0" w:lastColumn="1" w:oddVBand="0" w:evenVBand="0" w:oddHBand="0" w:evenHBand="0" w:firstRowFirstColumn="0" w:firstRowLastColumn="0" w:lastRowFirstColumn="0" w:lastRowLastColumn="0"/>
            <w:tcW w:w="1309" w:type="dxa"/>
          </w:tcPr>
          <w:p w14:paraId="1634F0D3" w14:textId="6F3E47C0" w:rsidR="002C49C2" w:rsidRPr="002C49C2" w:rsidRDefault="002C49C2" w:rsidP="001D711C">
            <w:pPr>
              <w:pStyle w:val="Addresses"/>
              <w:spacing w:line="240" w:lineRule="auto"/>
              <w:rPr>
                <w:b w:val="0"/>
                <w:bCs w:val="0"/>
                <w:i w:val="0"/>
                <w:color w:val="000000" w:themeColor="text1"/>
              </w:rPr>
            </w:pPr>
            <w:r w:rsidRPr="002C49C2">
              <w:rPr>
                <w:b w:val="0"/>
                <w:bCs w:val="0"/>
                <w:i w:val="0"/>
                <w:color w:val="000000" w:themeColor="text1"/>
              </w:rPr>
              <w:t>Persentase</w:t>
            </w:r>
          </w:p>
          <w:p w14:paraId="1DF34393" w14:textId="62C63A44" w:rsidR="002C49C2" w:rsidRPr="002C49C2" w:rsidRDefault="002C49C2" w:rsidP="001D711C">
            <w:pPr>
              <w:pStyle w:val="Addresses"/>
              <w:spacing w:line="240" w:lineRule="auto"/>
              <w:rPr>
                <w:b w:val="0"/>
                <w:bCs w:val="0"/>
                <w:i w:val="0"/>
                <w:color w:val="000000" w:themeColor="text1"/>
              </w:rPr>
            </w:pPr>
            <w:r w:rsidRPr="002C49C2">
              <w:rPr>
                <w:b w:val="0"/>
                <w:bCs w:val="0"/>
                <w:i w:val="0"/>
                <w:color w:val="000000" w:themeColor="text1"/>
              </w:rPr>
              <w:t>(100%)</w:t>
            </w:r>
          </w:p>
        </w:tc>
      </w:tr>
      <w:tr w:rsidR="002C49C2" w14:paraId="228C609A" w14:textId="77777777" w:rsidTr="007A5ECB">
        <w:tc>
          <w:tcPr>
            <w:tcW w:w="1310" w:type="dxa"/>
          </w:tcPr>
          <w:p w14:paraId="3A799868" w14:textId="68F1A4D5" w:rsidR="002C49C2" w:rsidRPr="002C49C2" w:rsidRDefault="002C49C2" w:rsidP="001D711C">
            <w:pPr>
              <w:pStyle w:val="Addresses"/>
              <w:spacing w:line="240" w:lineRule="auto"/>
              <w:rPr>
                <w:i w:val="0"/>
                <w:color w:val="000000" w:themeColor="text1"/>
              </w:rPr>
            </w:pPr>
            <w:r>
              <w:rPr>
                <w:i w:val="0"/>
                <w:color w:val="000000" w:themeColor="text1"/>
              </w:rPr>
              <w:t>Meloxicam</w:t>
            </w:r>
          </w:p>
        </w:tc>
        <w:tc>
          <w:tcPr>
            <w:tcW w:w="958" w:type="dxa"/>
          </w:tcPr>
          <w:p w14:paraId="65D8AA2A" w14:textId="44F186CA" w:rsidR="002C49C2" w:rsidRPr="002C49C2" w:rsidRDefault="002C49C2" w:rsidP="001D711C">
            <w:pPr>
              <w:pStyle w:val="Addresses"/>
              <w:spacing w:line="240" w:lineRule="auto"/>
              <w:rPr>
                <w:i w:val="0"/>
                <w:color w:val="000000" w:themeColor="text1"/>
              </w:rPr>
            </w:pPr>
            <w:r>
              <w:rPr>
                <w:i w:val="0"/>
                <w:color w:val="000000" w:themeColor="text1"/>
              </w:rPr>
              <w:t>7,5 mg</w:t>
            </w:r>
          </w:p>
        </w:tc>
        <w:tc>
          <w:tcPr>
            <w:tcW w:w="925" w:type="dxa"/>
          </w:tcPr>
          <w:p w14:paraId="44050C09" w14:textId="4D820304" w:rsidR="002C49C2" w:rsidRPr="002C49C2" w:rsidRDefault="002C49C2" w:rsidP="001D711C">
            <w:pPr>
              <w:pStyle w:val="Addresses"/>
              <w:spacing w:line="240" w:lineRule="auto"/>
              <w:rPr>
                <w:i w:val="0"/>
                <w:color w:val="000000" w:themeColor="text1"/>
              </w:rPr>
            </w:pPr>
            <w:r>
              <w:rPr>
                <w:i w:val="0"/>
                <w:color w:val="000000" w:themeColor="text1"/>
              </w:rPr>
              <w:t>20</w:t>
            </w:r>
          </w:p>
        </w:tc>
        <w:tc>
          <w:tcPr>
            <w:cnfStyle w:val="000100000000" w:firstRow="0" w:lastRow="0" w:firstColumn="0" w:lastColumn="1" w:oddVBand="0" w:evenVBand="0" w:oddHBand="0" w:evenHBand="0" w:firstRowFirstColumn="0" w:firstRowLastColumn="0" w:lastRowFirstColumn="0" w:lastRowLastColumn="0"/>
            <w:tcW w:w="1309" w:type="dxa"/>
          </w:tcPr>
          <w:p w14:paraId="10AB9C00" w14:textId="0AFD8F74" w:rsidR="002C49C2" w:rsidRPr="007A5ECB" w:rsidRDefault="002C49C2" w:rsidP="001D711C">
            <w:pPr>
              <w:pStyle w:val="Addresses"/>
              <w:spacing w:line="240" w:lineRule="auto"/>
              <w:rPr>
                <w:b w:val="0"/>
                <w:bCs w:val="0"/>
                <w:i w:val="0"/>
                <w:color w:val="000000" w:themeColor="text1"/>
              </w:rPr>
            </w:pPr>
            <w:r w:rsidRPr="007A5ECB">
              <w:rPr>
                <w:b w:val="0"/>
                <w:bCs w:val="0"/>
                <w:i w:val="0"/>
                <w:color w:val="000000" w:themeColor="text1"/>
              </w:rPr>
              <w:t>16,9</w:t>
            </w:r>
          </w:p>
        </w:tc>
      </w:tr>
      <w:tr w:rsidR="002C49C2" w14:paraId="0C57DC8D" w14:textId="77777777" w:rsidTr="007A5ECB">
        <w:tc>
          <w:tcPr>
            <w:tcW w:w="1310" w:type="dxa"/>
          </w:tcPr>
          <w:p w14:paraId="7E62BB0C" w14:textId="3F7A094A" w:rsidR="002C49C2" w:rsidRPr="002C49C2" w:rsidRDefault="002C49C2" w:rsidP="001D711C">
            <w:pPr>
              <w:pStyle w:val="Addresses"/>
              <w:spacing w:line="240" w:lineRule="auto"/>
              <w:rPr>
                <w:i w:val="0"/>
                <w:color w:val="000000" w:themeColor="text1"/>
              </w:rPr>
            </w:pPr>
            <w:r>
              <w:rPr>
                <w:i w:val="0"/>
                <w:color w:val="000000" w:themeColor="text1"/>
              </w:rPr>
              <w:t>Meloxicam</w:t>
            </w:r>
          </w:p>
        </w:tc>
        <w:tc>
          <w:tcPr>
            <w:tcW w:w="958" w:type="dxa"/>
          </w:tcPr>
          <w:p w14:paraId="2CAECA06" w14:textId="1FFD50FF" w:rsidR="002C49C2" w:rsidRPr="002C49C2" w:rsidRDefault="001D711C" w:rsidP="001D711C">
            <w:pPr>
              <w:pStyle w:val="Addresses"/>
              <w:spacing w:line="240" w:lineRule="auto"/>
              <w:rPr>
                <w:i w:val="0"/>
                <w:color w:val="000000" w:themeColor="text1"/>
              </w:rPr>
            </w:pPr>
            <w:r>
              <w:rPr>
                <w:i w:val="0"/>
                <w:color w:val="000000" w:themeColor="text1"/>
              </w:rPr>
              <w:t>15 mg</w:t>
            </w:r>
          </w:p>
        </w:tc>
        <w:tc>
          <w:tcPr>
            <w:tcW w:w="925" w:type="dxa"/>
          </w:tcPr>
          <w:p w14:paraId="48891C06" w14:textId="60FA5145" w:rsidR="002C49C2" w:rsidRPr="002C49C2" w:rsidRDefault="001D711C" w:rsidP="001D711C">
            <w:pPr>
              <w:pStyle w:val="Addresses"/>
              <w:spacing w:line="240" w:lineRule="auto"/>
              <w:rPr>
                <w:i w:val="0"/>
                <w:color w:val="000000" w:themeColor="text1"/>
              </w:rPr>
            </w:pPr>
            <w:r>
              <w:rPr>
                <w:i w:val="0"/>
                <w:color w:val="000000" w:themeColor="text1"/>
              </w:rPr>
              <w:t>48</w:t>
            </w:r>
          </w:p>
        </w:tc>
        <w:tc>
          <w:tcPr>
            <w:cnfStyle w:val="000100000000" w:firstRow="0" w:lastRow="0" w:firstColumn="0" w:lastColumn="1" w:oddVBand="0" w:evenVBand="0" w:oddHBand="0" w:evenHBand="0" w:firstRowFirstColumn="0" w:firstRowLastColumn="0" w:lastRowFirstColumn="0" w:lastRowLastColumn="0"/>
            <w:tcW w:w="1309" w:type="dxa"/>
          </w:tcPr>
          <w:p w14:paraId="4F04F5D5" w14:textId="517D92CA" w:rsidR="002C49C2" w:rsidRPr="007A5ECB" w:rsidRDefault="001D711C" w:rsidP="001D711C">
            <w:pPr>
              <w:pStyle w:val="Addresses"/>
              <w:spacing w:line="240" w:lineRule="auto"/>
              <w:rPr>
                <w:b w:val="0"/>
                <w:bCs w:val="0"/>
                <w:i w:val="0"/>
                <w:color w:val="000000" w:themeColor="text1"/>
              </w:rPr>
            </w:pPr>
            <w:r w:rsidRPr="007A5ECB">
              <w:rPr>
                <w:b w:val="0"/>
                <w:bCs w:val="0"/>
                <w:i w:val="0"/>
                <w:color w:val="000000" w:themeColor="text1"/>
              </w:rPr>
              <w:t>40,7</w:t>
            </w:r>
          </w:p>
        </w:tc>
      </w:tr>
      <w:tr w:rsidR="002C49C2" w14:paraId="7949790A" w14:textId="77777777" w:rsidTr="007A5ECB">
        <w:tc>
          <w:tcPr>
            <w:tcW w:w="1310" w:type="dxa"/>
          </w:tcPr>
          <w:p w14:paraId="21B4BD7B" w14:textId="67F1CE94" w:rsidR="002C49C2" w:rsidRPr="002C49C2" w:rsidRDefault="001D711C" w:rsidP="001D711C">
            <w:pPr>
              <w:pStyle w:val="Addresses"/>
              <w:spacing w:line="240" w:lineRule="auto"/>
              <w:rPr>
                <w:i w:val="0"/>
                <w:color w:val="000000" w:themeColor="text1"/>
              </w:rPr>
            </w:pPr>
            <w:r>
              <w:rPr>
                <w:i w:val="0"/>
                <w:color w:val="000000" w:themeColor="text1"/>
              </w:rPr>
              <w:t>Natrium diklofenak</w:t>
            </w:r>
          </w:p>
        </w:tc>
        <w:tc>
          <w:tcPr>
            <w:tcW w:w="958" w:type="dxa"/>
          </w:tcPr>
          <w:p w14:paraId="2DD5CA43" w14:textId="7AE3E804" w:rsidR="002C49C2" w:rsidRPr="002C49C2" w:rsidRDefault="001D711C" w:rsidP="001D711C">
            <w:pPr>
              <w:pStyle w:val="Addresses"/>
              <w:spacing w:line="240" w:lineRule="auto"/>
              <w:rPr>
                <w:i w:val="0"/>
                <w:color w:val="000000" w:themeColor="text1"/>
              </w:rPr>
            </w:pPr>
            <w:r>
              <w:rPr>
                <w:i w:val="0"/>
                <w:color w:val="000000" w:themeColor="text1"/>
              </w:rPr>
              <w:t>50 mg</w:t>
            </w:r>
          </w:p>
        </w:tc>
        <w:tc>
          <w:tcPr>
            <w:tcW w:w="925" w:type="dxa"/>
          </w:tcPr>
          <w:p w14:paraId="7DBD371D" w14:textId="33F500B6" w:rsidR="002C49C2" w:rsidRPr="002C49C2" w:rsidRDefault="001D711C" w:rsidP="001D711C">
            <w:pPr>
              <w:pStyle w:val="Addresses"/>
              <w:spacing w:line="240" w:lineRule="auto"/>
              <w:rPr>
                <w:i w:val="0"/>
                <w:color w:val="000000" w:themeColor="text1"/>
              </w:rPr>
            </w:pPr>
            <w:r>
              <w:rPr>
                <w:i w:val="0"/>
                <w:color w:val="000000" w:themeColor="text1"/>
              </w:rPr>
              <w:t>42</w:t>
            </w:r>
          </w:p>
        </w:tc>
        <w:tc>
          <w:tcPr>
            <w:cnfStyle w:val="000100000000" w:firstRow="0" w:lastRow="0" w:firstColumn="0" w:lastColumn="1" w:oddVBand="0" w:evenVBand="0" w:oddHBand="0" w:evenHBand="0" w:firstRowFirstColumn="0" w:firstRowLastColumn="0" w:lastRowFirstColumn="0" w:lastRowLastColumn="0"/>
            <w:tcW w:w="1309" w:type="dxa"/>
          </w:tcPr>
          <w:p w14:paraId="5EF85E60" w14:textId="64767B14" w:rsidR="002C49C2" w:rsidRPr="007A5ECB" w:rsidRDefault="001D711C" w:rsidP="001D711C">
            <w:pPr>
              <w:pStyle w:val="Addresses"/>
              <w:spacing w:line="240" w:lineRule="auto"/>
              <w:rPr>
                <w:b w:val="0"/>
                <w:bCs w:val="0"/>
                <w:i w:val="0"/>
                <w:color w:val="000000" w:themeColor="text1"/>
              </w:rPr>
            </w:pPr>
            <w:r w:rsidRPr="007A5ECB">
              <w:rPr>
                <w:b w:val="0"/>
                <w:bCs w:val="0"/>
                <w:i w:val="0"/>
                <w:color w:val="000000" w:themeColor="text1"/>
              </w:rPr>
              <w:t>35,6</w:t>
            </w:r>
          </w:p>
        </w:tc>
      </w:tr>
      <w:tr w:rsidR="001D711C" w14:paraId="07FAF62C" w14:textId="77777777" w:rsidTr="007A5ECB">
        <w:tc>
          <w:tcPr>
            <w:tcW w:w="1310" w:type="dxa"/>
          </w:tcPr>
          <w:p w14:paraId="262DC964" w14:textId="6BF1200B" w:rsidR="001D711C" w:rsidRDefault="001D711C" w:rsidP="001D711C">
            <w:pPr>
              <w:pStyle w:val="Addresses"/>
              <w:spacing w:line="240" w:lineRule="auto"/>
              <w:rPr>
                <w:i w:val="0"/>
                <w:color w:val="000000" w:themeColor="text1"/>
              </w:rPr>
            </w:pPr>
            <w:r>
              <w:rPr>
                <w:i w:val="0"/>
                <w:color w:val="000000" w:themeColor="text1"/>
              </w:rPr>
              <w:t>Ketoprofen</w:t>
            </w:r>
          </w:p>
        </w:tc>
        <w:tc>
          <w:tcPr>
            <w:tcW w:w="958" w:type="dxa"/>
          </w:tcPr>
          <w:p w14:paraId="4593D938" w14:textId="29ED2DAA" w:rsidR="001D711C" w:rsidRDefault="001D711C" w:rsidP="001D711C">
            <w:pPr>
              <w:pStyle w:val="Addresses"/>
              <w:spacing w:line="240" w:lineRule="auto"/>
              <w:rPr>
                <w:i w:val="0"/>
                <w:color w:val="000000" w:themeColor="text1"/>
              </w:rPr>
            </w:pPr>
            <w:r>
              <w:rPr>
                <w:i w:val="0"/>
                <w:color w:val="000000" w:themeColor="text1"/>
              </w:rPr>
              <w:t>100 mg</w:t>
            </w:r>
          </w:p>
        </w:tc>
        <w:tc>
          <w:tcPr>
            <w:tcW w:w="925" w:type="dxa"/>
          </w:tcPr>
          <w:p w14:paraId="540115A8" w14:textId="1BFF8EF9" w:rsidR="001D711C" w:rsidRDefault="001D711C" w:rsidP="001D711C">
            <w:pPr>
              <w:pStyle w:val="Addresses"/>
              <w:spacing w:line="240" w:lineRule="auto"/>
              <w:rPr>
                <w:i w:val="0"/>
                <w:color w:val="000000" w:themeColor="text1"/>
              </w:rPr>
            </w:pPr>
            <w:r>
              <w:rPr>
                <w:i w:val="0"/>
                <w:color w:val="000000" w:themeColor="text1"/>
              </w:rPr>
              <w:t>3</w:t>
            </w:r>
          </w:p>
        </w:tc>
        <w:tc>
          <w:tcPr>
            <w:cnfStyle w:val="000100000000" w:firstRow="0" w:lastRow="0" w:firstColumn="0" w:lastColumn="1" w:oddVBand="0" w:evenVBand="0" w:oddHBand="0" w:evenHBand="0" w:firstRowFirstColumn="0" w:firstRowLastColumn="0" w:lastRowFirstColumn="0" w:lastRowLastColumn="0"/>
            <w:tcW w:w="1309" w:type="dxa"/>
          </w:tcPr>
          <w:p w14:paraId="48A89F7A" w14:textId="782CC1C2" w:rsidR="001D711C" w:rsidRPr="007A5ECB" w:rsidRDefault="001D711C" w:rsidP="001D711C">
            <w:pPr>
              <w:pStyle w:val="Addresses"/>
              <w:spacing w:line="240" w:lineRule="auto"/>
              <w:rPr>
                <w:b w:val="0"/>
                <w:bCs w:val="0"/>
                <w:i w:val="0"/>
                <w:color w:val="000000" w:themeColor="text1"/>
              </w:rPr>
            </w:pPr>
            <w:r w:rsidRPr="007A5ECB">
              <w:rPr>
                <w:b w:val="0"/>
                <w:bCs w:val="0"/>
                <w:i w:val="0"/>
                <w:color w:val="000000" w:themeColor="text1"/>
              </w:rPr>
              <w:t>2,5</w:t>
            </w:r>
          </w:p>
        </w:tc>
      </w:tr>
      <w:tr w:rsidR="002C49C2" w14:paraId="61369E8A" w14:textId="77777777" w:rsidTr="007A5ECB">
        <w:tc>
          <w:tcPr>
            <w:tcW w:w="1310" w:type="dxa"/>
          </w:tcPr>
          <w:p w14:paraId="12B5719E" w14:textId="6D8EFA9A" w:rsidR="002C49C2" w:rsidRPr="002C49C2" w:rsidRDefault="001D711C" w:rsidP="001D711C">
            <w:pPr>
              <w:pStyle w:val="Addresses"/>
              <w:spacing w:line="240" w:lineRule="auto"/>
              <w:rPr>
                <w:i w:val="0"/>
                <w:color w:val="000000" w:themeColor="text1"/>
              </w:rPr>
            </w:pPr>
            <w:r>
              <w:rPr>
                <w:i w:val="0"/>
                <w:color w:val="000000" w:themeColor="text1"/>
              </w:rPr>
              <w:t>Celecoxib</w:t>
            </w:r>
          </w:p>
        </w:tc>
        <w:tc>
          <w:tcPr>
            <w:tcW w:w="958" w:type="dxa"/>
          </w:tcPr>
          <w:p w14:paraId="55D46CF9" w14:textId="04A0DA8E" w:rsidR="002C49C2" w:rsidRPr="002C49C2" w:rsidRDefault="001D711C" w:rsidP="001D711C">
            <w:pPr>
              <w:pStyle w:val="Addresses"/>
              <w:spacing w:line="240" w:lineRule="auto"/>
              <w:rPr>
                <w:i w:val="0"/>
                <w:color w:val="000000" w:themeColor="text1"/>
              </w:rPr>
            </w:pPr>
            <w:r>
              <w:rPr>
                <w:i w:val="0"/>
                <w:color w:val="000000" w:themeColor="text1"/>
              </w:rPr>
              <w:t>200 mg</w:t>
            </w:r>
          </w:p>
        </w:tc>
        <w:tc>
          <w:tcPr>
            <w:tcW w:w="925" w:type="dxa"/>
          </w:tcPr>
          <w:p w14:paraId="51657D99" w14:textId="1FAE2954" w:rsidR="002C49C2" w:rsidRPr="002C49C2" w:rsidRDefault="001D711C" w:rsidP="001D711C">
            <w:pPr>
              <w:pStyle w:val="Addresses"/>
              <w:spacing w:line="240" w:lineRule="auto"/>
              <w:rPr>
                <w:i w:val="0"/>
                <w:color w:val="000000" w:themeColor="text1"/>
              </w:rPr>
            </w:pPr>
            <w:r>
              <w:rPr>
                <w:i w:val="0"/>
                <w:color w:val="000000" w:themeColor="text1"/>
              </w:rPr>
              <w:t>3</w:t>
            </w:r>
          </w:p>
        </w:tc>
        <w:tc>
          <w:tcPr>
            <w:cnfStyle w:val="000100000000" w:firstRow="0" w:lastRow="0" w:firstColumn="0" w:lastColumn="1" w:oddVBand="0" w:evenVBand="0" w:oddHBand="0" w:evenHBand="0" w:firstRowFirstColumn="0" w:firstRowLastColumn="0" w:lastRowFirstColumn="0" w:lastRowLastColumn="0"/>
            <w:tcW w:w="1309" w:type="dxa"/>
          </w:tcPr>
          <w:p w14:paraId="3D903B10" w14:textId="2AA539FB" w:rsidR="002C49C2" w:rsidRPr="007A5ECB" w:rsidRDefault="001D711C" w:rsidP="001D711C">
            <w:pPr>
              <w:pStyle w:val="Addresses"/>
              <w:spacing w:line="240" w:lineRule="auto"/>
              <w:rPr>
                <w:b w:val="0"/>
                <w:bCs w:val="0"/>
                <w:i w:val="0"/>
                <w:color w:val="000000" w:themeColor="text1"/>
              </w:rPr>
            </w:pPr>
            <w:r w:rsidRPr="007A5ECB">
              <w:rPr>
                <w:b w:val="0"/>
                <w:bCs w:val="0"/>
                <w:i w:val="0"/>
                <w:color w:val="000000" w:themeColor="text1"/>
              </w:rPr>
              <w:t>2,5</w:t>
            </w:r>
          </w:p>
        </w:tc>
      </w:tr>
      <w:tr w:rsidR="002C49C2" w14:paraId="53E0F8AC" w14:textId="77777777" w:rsidTr="000E02AF">
        <w:tc>
          <w:tcPr>
            <w:tcW w:w="1310" w:type="dxa"/>
            <w:tcBorders>
              <w:bottom w:val="single" w:sz="4" w:space="0" w:color="auto"/>
            </w:tcBorders>
          </w:tcPr>
          <w:p w14:paraId="076D0A26" w14:textId="3B27D007" w:rsidR="002C49C2" w:rsidRPr="002C49C2" w:rsidRDefault="001D711C" w:rsidP="001D711C">
            <w:pPr>
              <w:pStyle w:val="Addresses"/>
              <w:spacing w:line="240" w:lineRule="auto"/>
              <w:rPr>
                <w:i w:val="0"/>
                <w:color w:val="000000" w:themeColor="text1"/>
              </w:rPr>
            </w:pPr>
            <w:r>
              <w:rPr>
                <w:i w:val="0"/>
                <w:color w:val="000000" w:themeColor="text1"/>
              </w:rPr>
              <w:t>Ibu profen</w:t>
            </w:r>
          </w:p>
        </w:tc>
        <w:tc>
          <w:tcPr>
            <w:tcW w:w="958" w:type="dxa"/>
            <w:tcBorders>
              <w:bottom w:val="single" w:sz="4" w:space="0" w:color="auto"/>
            </w:tcBorders>
          </w:tcPr>
          <w:p w14:paraId="7D2B0A80" w14:textId="09B30F16" w:rsidR="002C49C2" w:rsidRPr="002C49C2" w:rsidRDefault="001D711C" w:rsidP="001D711C">
            <w:pPr>
              <w:pStyle w:val="Addresses"/>
              <w:spacing w:line="240" w:lineRule="auto"/>
              <w:rPr>
                <w:i w:val="0"/>
                <w:color w:val="000000" w:themeColor="text1"/>
              </w:rPr>
            </w:pPr>
            <w:r>
              <w:rPr>
                <w:i w:val="0"/>
                <w:color w:val="000000" w:themeColor="text1"/>
              </w:rPr>
              <w:t>400 mg</w:t>
            </w:r>
          </w:p>
        </w:tc>
        <w:tc>
          <w:tcPr>
            <w:tcW w:w="925" w:type="dxa"/>
            <w:tcBorders>
              <w:bottom w:val="single" w:sz="4" w:space="0" w:color="auto"/>
            </w:tcBorders>
          </w:tcPr>
          <w:p w14:paraId="773EC144" w14:textId="35567ED5" w:rsidR="002C49C2" w:rsidRPr="002C49C2" w:rsidRDefault="001D711C" w:rsidP="001D711C">
            <w:pPr>
              <w:pStyle w:val="Addresses"/>
              <w:spacing w:line="240" w:lineRule="auto"/>
              <w:rPr>
                <w:i w:val="0"/>
                <w:color w:val="000000" w:themeColor="text1"/>
              </w:rPr>
            </w:pPr>
            <w:r>
              <w:rPr>
                <w:i w:val="0"/>
                <w:color w:val="000000" w:themeColor="text1"/>
              </w:rPr>
              <w:t>2</w:t>
            </w:r>
          </w:p>
        </w:tc>
        <w:tc>
          <w:tcPr>
            <w:cnfStyle w:val="000100000000" w:firstRow="0" w:lastRow="0" w:firstColumn="0" w:lastColumn="1" w:oddVBand="0" w:evenVBand="0" w:oddHBand="0" w:evenHBand="0" w:firstRowFirstColumn="0" w:firstRowLastColumn="0" w:lastRowFirstColumn="0" w:lastRowLastColumn="0"/>
            <w:tcW w:w="1309" w:type="dxa"/>
            <w:tcBorders>
              <w:bottom w:val="single" w:sz="4" w:space="0" w:color="auto"/>
            </w:tcBorders>
          </w:tcPr>
          <w:p w14:paraId="3D8935C7" w14:textId="0362E968" w:rsidR="002C49C2" w:rsidRPr="007A5ECB" w:rsidRDefault="001D711C" w:rsidP="001D711C">
            <w:pPr>
              <w:pStyle w:val="Addresses"/>
              <w:spacing w:line="240" w:lineRule="auto"/>
              <w:rPr>
                <w:b w:val="0"/>
                <w:bCs w:val="0"/>
                <w:i w:val="0"/>
                <w:color w:val="000000" w:themeColor="text1"/>
              </w:rPr>
            </w:pPr>
            <w:r w:rsidRPr="007A5ECB">
              <w:rPr>
                <w:b w:val="0"/>
                <w:bCs w:val="0"/>
                <w:i w:val="0"/>
                <w:color w:val="000000" w:themeColor="text1"/>
              </w:rPr>
              <w:t>1,6</w:t>
            </w:r>
          </w:p>
        </w:tc>
      </w:tr>
      <w:tr w:rsidR="000E02AF" w14:paraId="2A3E67BD" w14:textId="77777777" w:rsidTr="003339D9">
        <w:tc>
          <w:tcPr>
            <w:tcW w:w="2268" w:type="dxa"/>
            <w:gridSpan w:val="2"/>
            <w:tcBorders>
              <w:top w:val="single" w:sz="4" w:space="0" w:color="auto"/>
              <w:bottom w:val="single" w:sz="4" w:space="0" w:color="7F7F7F"/>
            </w:tcBorders>
          </w:tcPr>
          <w:p w14:paraId="495DB2D3" w14:textId="046463FB" w:rsidR="000E02AF" w:rsidRDefault="000E02AF" w:rsidP="001D711C">
            <w:pPr>
              <w:pStyle w:val="Addresses"/>
              <w:spacing w:line="240" w:lineRule="auto"/>
              <w:rPr>
                <w:i w:val="0"/>
                <w:color w:val="000000" w:themeColor="text1"/>
              </w:rPr>
            </w:pPr>
            <w:r>
              <w:rPr>
                <w:i w:val="0"/>
                <w:color w:val="000000" w:themeColor="text1"/>
              </w:rPr>
              <w:t>Jumlah</w:t>
            </w:r>
          </w:p>
        </w:tc>
        <w:tc>
          <w:tcPr>
            <w:tcW w:w="925" w:type="dxa"/>
            <w:tcBorders>
              <w:top w:val="single" w:sz="4" w:space="0" w:color="auto"/>
              <w:bottom w:val="single" w:sz="4" w:space="0" w:color="7F7F7F"/>
            </w:tcBorders>
          </w:tcPr>
          <w:p w14:paraId="2AA23719" w14:textId="0AE33C1B" w:rsidR="000E02AF" w:rsidRDefault="000E02AF" w:rsidP="001D711C">
            <w:pPr>
              <w:pStyle w:val="Addresses"/>
              <w:spacing w:line="240" w:lineRule="auto"/>
              <w:rPr>
                <w:i w:val="0"/>
                <w:color w:val="000000" w:themeColor="text1"/>
              </w:rPr>
            </w:pPr>
            <w:r>
              <w:rPr>
                <w:i w:val="0"/>
                <w:color w:val="000000" w:themeColor="text1"/>
              </w:rPr>
              <w:t>118</w:t>
            </w:r>
          </w:p>
        </w:tc>
        <w:tc>
          <w:tcPr>
            <w:cnfStyle w:val="000100000000" w:firstRow="0" w:lastRow="0" w:firstColumn="0" w:lastColumn="1" w:oddVBand="0" w:evenVBand="0" w:oddHBand="0" w:evenHBand="0" w:firstRowFirstColumn="0" w:firstRowLastColumn="0" w:lastRowFirstColumn="0" w:lastRowLastColumn="0"/>
            <w:tcW w:w="1309" w:type="dxa"/>
            <w:tcBorders>
              <w:top w:val="single" w:sz="4" w:space="0" w:color="auto"/>
              <w:bottom w:val="single" w:sz="4" w:space="0" w:color="7F7F7F"/>
            </w:tcBorders>
          </w:tcPr>
          <w:p w14:paraId="2C2889E2" w14:textId="486FCEFE" w:rsidR="000E02AF" w:rsidRPr="000E02AF" w:rsidRDefault="000E02AF" w:rsidP="001D711C">
            <w:pPr>
              <w:pStyle w:val="Addresses"/>
              <w:spacing w:line="240" w:lineRule="auto"/>
              <w:rPr>
                <w:b w:val="0"/>
                <w:bCs w:val="0"/>
                <w:i w:val="0"/>
                <w:color w:val="000000" w:themeColor="text1"/>
              </w:rPr>
            </w:pPr>
            <w:r w:rsidRPr="000E02AF">
              <w:rPr>
                <w:b w:val="0"/>
                <w:bCs w:val="0"/>
                <w:i w:val="0"/>
                <w:color w:val="000000" w:themeColor="text1"/>
              </w:rPr>
              <w:t>100</w:t>
            </w:r>
          </w:p>
        </w:tc>
      </w:tr>
      <w:bookmarkEnd w:id="13"/>
    </w:tbl>
    <w:p w14:paraId="4F188425" w14:textId="77777777" w:rsidR="001D711C" w:rsidRDefault="001D711C" w:rsidP="002C49C2">
      <w:pPr>
        <w:pStyle w:val="Addresses"/>
        <w:spacing w:line="240" w:lineRule="auto"/>
        <w:jc w:val="both"/>
        <w:rPr>
          <w:i w:val="0"/>
          <w:color w:val="FF0000"/>
        </w:rPr>
      </w:pPr>
    </w:p>
    <w:p w14:paraId="4810DB9C" w14:textId="49E5F72A" w:rsidR="001D711C" w:rsidRDefault="009D1F2B" w:rsidP="009D1F2B">
      <w:pPr>
        <w:pStyle w:val="Addresses"/>
        <w:spacing w:line="240" w:lineRule="auto"/>
        <w:ind w:firstLine="567"/>
        <w:jc w:val="both"/>
        <w:rPr>
          <w:i w:val="0"/>
          <w:color w:val="000000" w:themeColor="text1"/>
        </w:rPr>
      </w:pPr>
      <w:r w:rsidRPr="009D1F2B">
        <w:rPr>
          <w:i w:val="0"/>
          <w:color w:val="000000" w:themeColor="text1"/>
        </w:rPr>
        <w:t>Berdasarkan tabel 2, penggunaan OAINS yang paling banyak diresepkan kepada pasien OA di RS</w:t>
      </w:r>
      <w:r>
        <w:rPr>
          <w:i w:val="0"/>
          <w:color w:val="000000" w:themeColor="text1"/>
        </w:rPr>
        <w:t xml:space="preserve"> X </w:t>
      </w:r>
      <w:r w:rsidRPr="009D1F2B">
        <w:rPr>
          <w:i w:val="0"/>
          <w:color w:val="000000" w:themeColor="text1"/>
        </w:rPr>
        <w:t xml:space="preserve">Kudus yaitu meloxicam dosis 15 mg sebanyak 48 pasien (40,7%) dengan dosis pemakaian 1x15mg. Hasil penelitian ini sesuai dengan penelitian </w:t>
      </w:r>
      <w:r>
        <w:rPr>
          <w:i w:val="0"/>
          <w:color w:val="000000" w:themeColor="text1"/>
        </w:rPr>
        <w:lastRenderedPageBreak/>
        <w:fldChar w:fldCharType="begin" w:fldLock="1"/>
      </w:r>
      <w:r w:rsidR="007A5ECB">
        <w:rPr>
          <w:i w:val="0"/>
          <w:color w:val="000000" w:themeColor="text1"/>
        </w:rPr>
        <w:instrText>ADDIN CSL_CITATION {"citationItems":[{"id":"ITEM-1","itemData":{"DOI":"https://doi.org/10.59841/an-najat.v3i1.2239","author":[{"dropping-particle":"","family":"Fatoni","given":"Isyna Hida; Rismi","non-dropping-particle":"","parse-names":false,"suffix":""}],"id":"ITEM-1","issued":{"date-parts":[["2024"]]},"title":"Gambaran Penggunaan Obat Antiinflamasi Non Steroid Pada Pasien Penderita Osteoarthritis di Instalasi Rawat Jalan RSUD Kajen Periode Januari – Oktober 2024 “ Gambaran Penggunaan Obat Antiinflamasi Non Steroid Pada Pasien Pe nderita Osteoarthritis di Instal","type":"article-journal"},"uris":["http://www.mendeley.com/documents/?uuid=42be834a-a688-42d6-ba11-6658b72a3ec4"]}],"mendeley":{"formattedCitation":"(Fatoni, 2024)","manualFormatting":"Fatoni (2024)","plainTextFormattedCitation":"(Fatoni, 2024)","previouslyFormattedCitation":"(Fatoni, 2024)"},"properties":{"noteIndex":0},"schema":"https://github.com/citation-style-language/schema/raw/master/csl-citation.json"}</w:instrText>
      </w:r>
      <w:r>
        <w:rPr>
          <w:i w:val="0"/>
          <w:color w:val="000000" w:themeColor="text1"/>
        </w:rPr>
        <w:fldChar w:fldCharType="separate"/>
      </w:r>
      <w:r w:rsidRPr="009D1F2B">
        <w:rPr>
          <w:i w:val="0"/>
          <w:noProof/>
          <w:color w:val="000000" w:themeColor="text1"/>
        </w:rPr>
        <w:t>Fatoni</w:t>
      </w:r>
      <w:r>
        <w:rPr>
          <w:i w:val="0"/>
          <w:noProof/>
          <w:color w:val="000000" w:themeColor="text1"/>
        </w:rPr>
        <w:t xml:space="preserve"> (</w:t>
      </w:r>
      <w:r w:rsidRPr="009D1F2B">
        <w:rPr>
          <w:i w:val="0"/>
          <w:noProof/>
          <w:color w:val="000000" w:themeColor="text1"/>
        </w:rPr>
        <w:t>2024)</w:t>
      </w:r>
      <w:r>
        <w:rPr>
          <w:i w:val="0"/>
          <w:color w:val="000000" w:themeColor="text1"/>
        </w:rPr>
        <w:fldChar w:fldCharType="end"/>
      </w:r>
      <w:r>
        <w:rPr>
          <w:i w:val="0"/>
          <w:color w:val="000000" w:themeColor="text1"/>
        </w:rPr>
        <w:t xml:space="preserve"> </w:t>
      </w:r>
      <w:r w:rsidRPr="009D1F2B">
        <w:rPr>
          <w:i w:val="0"/>
          <w:color w:val="000000" w:themeColor="text1"/>
        </w:rPr>
        <w:t>di RSUD Kajen, menunjukan bahwa penggunaan OAINS yang paling banyak diresepkan untuk pasien osteoartritis adalah meloxicam sebanyak 146 pasien (48,67%).</w:t>
      </w:r>
      <w:r>
        <w:rPr>
          <w:i w:val="0"/>
          <w:color w:val="000000" w:themeColor="text1"/>
        </w:rPr>
        <w:t xml:space="preserve"> </w:t>
      </w:r>
      <w:r w:rsidRPr="009D1F2B">
        <w:rPr>
          <w:i w:val="0"/>
          <w:color w:val="000000" w:themeColor="text1"/>
        </w:rPr>
        <w:t xml:space="preserve">Meloxicam merupakan obat antiinflamasi nonsteroid (OAINS) yang bekerja dengan menghambat sintesis prostaglandin sebagai mediator inflamasi. Obat ini memiliki profil keamanan pada saluran cerna yang lebih baik dibandingkan OAINS lainnya, karena </w:t>
      </w:r>
      <w:r>
        <w:rPr>
          <w:i w:val="0"/>
          <w:color w:val="000000" w:themeColor="text1"/>
        </w:rPr>
        <w:t xml:space="preserve">terdapat </w:t>
      </w:r>
      <w:r w:rsidRPr="009D1F2B">
        <w:rPr>
          <w:i w:val="0"/>
          <w:color w:val="000000" w:themeColor="text1"/>
        </w:rPr>
        <w:t xml:space="preserve">aktivitas penghambatan terhadap enzim </w:t>
      </w:r>
      <w:r w:rsidRPr="009D1F2B">
        <w:rPr>
          <w:iCs/>
          <w:color w:val="000000" w:themeColor="text1"/>
        </w:rPr>
        <w:t>siklooksigenase-2</w:t>
      </w:r>
      <w:r w:rsidRPr="009D1F2B">
        <w:rPr>
          <w:i w:val="0"/>
          <w:color w:val="000000" w:themeColor="text1"/>
        </w:rPr>
        <w:t xml:space="preserve"> (COX-2) yang lebih selektif, dengan potensi penghambatan sekitar sepuluh kali lebih besar dibandingkan COX-1. Mengingat pasien OA umumnya memerlukan terapi jangka panjang, meloxicam sering dipilih sebagai alternatif yang relatif lebih aman dengan tujuan meminimalkan risiko gangguan saluran cerna </w:t>
      </w:r>
      <w:r>
        <w:rPr>
          <w:i w:val="0"/>
          <w:color w:val="000000" w:themeColor="text1"/>
        </w:rPr>
        <w:fldChar w:fldCharType="begin" w:fldLock="1"/>
      </w:r>
      <w:r>
        <w:rPr>
          <w:i w:val="0"/>
          <w:color w:val="000000" w:themeColor="text1"/>
        </w:rPr>
        <w:instrText>ADDIN CSL_CITATION {"citationItems":[{"id":"ITEM-1","itemData":{"DOI":"https://doi.org/10.59841/an-najat.v3i1.2239","author":[{"dropping-particle":"","family":"Fatoni","given":"Isyna Hida; Rismi","non-dropping-particle":"","parse-names":false,"suffix":""}],"id":"ITEM-1","issued":{"date-parts":[["2024"]]},"title":"Gambaran Penggunaan Obat Antiinflamasi Non Steroid Pada Pasien Penderita Osteoarthritis di Instalasi Rawat Jalan RSUD Kajen Periode Januari – Oktober 2024 “ Gambaran Penggunaan Obat Antiinflamasi Non Steroid Pada Pasien Pe nderita Osteoarthritis di Instal","type":"article-journal"},"uris":["http://www.mendeley.com/documents/?uuid=42be834a-a688-42d6-ba11-6658b72a3ec4"]}],"mendeley":{"formattedCitation":"(Fatoni, 2024)","plainTextFormattedCitation":"(Fatoni, 2024)","previouslyFormattedCitation":"(Fatoni, 2024)"},"properties":{"noteIndex":0},"schema":"https://github.com/citation-style-language/schema/raw/master/csl-citation.json"}</w:instrText>
      </w:r>
      <w:r>
        <w:rPr>
          <w:i w:val="0"/>
          <w:color w:val="000000" w:themeColor="text1"/>
        </w:rPr>
        <w:fldChar w:fldCharType="separate"/>
      </w:r>
      <w:r w:rsidRPr="009D1F2B">
        <w:rPr>
          <w:i w:val="0"/>
          <w:noProof/>
          <w:color w:val="000000" w:themeColor="text1"/>
        </w:rPr>
        <w:t>(Fatoni, 2024)</w:t>
      </w:r>
      <w:r>
        <w:rPr>
          <w:i w:val="0"/>
          <w:color w:val="000000" w:themeColor="text1"/>
        </w:rPr>
        <w:fldChar w:fldCharType="end"/>
      </w:r>
      <w:r>
        <w:rPr>
          <w:i w:val="0"/>
          <w:color w:val="000000" w:themeColor="text1"/>
        </w:rPr>
        <w:t>.</w:t>
      </w:r>
    </w:p>
    <w:p w14:paraId="733383C9" w14:textId="77777777" w:rsidR="009D1F2B" w:rsidRDefault="009D1F2B" w:rsidP="009D1F2B">
      <w:pPr>
        <w:pStyle w:val="Addresses"/>
        <w:spacing w:line="240" w:lineRule="auto"/>
        <w:jc w:val="both"/>
        <w:rPr>
          <w:i w:val="0"/>
          <w:color w:val="000000" w:themeColor="text1"/>
        </w:rPr>
      </w:pPr>
    </w:p>
    <w:p w14:paraId="188DF9F0" w14:textId="61539001" w:rsidR="009D1F2B" w:rsidRPr="009D1F2B" w:rsidRDefault="009D1F2B" w:rsidP="009D1F2B">
      <w:pPr>
        <w:pStyle w:val="Addresses"/>
        <w:spacing w:line="240" w:lineRule="auto"/>
        <w:jc w:val="both"/>
        <w:rPr>
          <w:b/>
          <w:bCs/>
          <w:i w:val="0"/>
          <w:color w:val="000000" w:themeColor="text1"/>
        </w:rPr>
      </w:pPr>
      <w:r w:rsidRPr="009D1F2B">
        <w:rPr>
          <w:b/>
          <w:bCs/>
          <w:i w:val="0"/>
          <w:color w:val="000000" w:themeColor="text1"/>
        </w:rPr>
        <w:t>Keamanan penggunaan OAINS</w:t>
      </w:r>
    </w:p>
    <w:p w14:paraId="4E4A428B" w14:textId="2284F8BB" w:rsidR="003D41E9" w:rsidRDefault="009D1F2B" w:rsidP="007A5ECB">
      <w:pPr>
        <w:pStyle w:val="Addresses"/>
        <w:spacing w:line="240" w:lineRule="auto"/>
        <w:ind w:firstLine="567"/>
        <w:jc w:val="both"/>
        <w:rPr>
          <w:i w:val="0"/>
          <w:color w:val="000000" w:themeColor="text1"/>
        </w:rPr>
      </w:pPr>
      <w:r>
        <w:rPr>
          <w:i w:val="0"/>
          <w:color w:val="000000" w:themeColor="text1"/>
        </w:rPr>
        <w:t xml:space="preserve">Pada penelitian ini keamanan penggunaan OAINS ditinjau berdasarkan kejadian efek samping pasien osteoartritis dari data rekam medis pasien RS X Kudus. </w:t>
      </w:r>
    </w:p>
    <w:p w14:paraId="7ABF935B" w14:textId="77777777" w:rsidR="009D1F2B" w:rsidRDefault="009D1F2B" w:rsidP="009D1F2B">
      <w:pPr>
        <w:pStyle w:val="Addresses"/>
        <w:spacing w:line="240" w:lineRule="auto"/>
        <w:jc w:val="both"/>
        <w:rPr>
          <w:i w:val="0"/>
          <w:color w:val="000000" w:themeColor="text1"/>
        </w:rPr>
      </w:pPr>
    </w:p>
    <w:tbl>
      <w:tblPr>
        <w:tblStyle w:val="PlainTable23"/>
        <w:tblpPr w:leftFromText="180" w:rightFromText="180" w:vertAnchor="text" w:horzAnchor="margin" w:tblpX="108" w:tblpY="406"/>
        <w:tblW w:w="4503" w:type="dxa"/>
        <w:tblLayout w:type="fixed"/>
        <w:tblLook w:val="0720" w:firstRow="1" w:lastRow="0" w:firstColumn="0" w:lastColumn="1" w:noHBand="1" w:noVBand="1"/>
      </w:tblPr>
      <w:tblGrid>
        <w:gridCol w:w="2376"/>
        <w:gridCol w:w="709"/>
        <w:gridCol w:w="1418"/>
      </w:tblGrid>
      <w:tr w:rsidR="009D1F2B" w:rsidRPr="009D1F2B" w14:paraId="15D67600" w14:textId="77777777" w:rsidTr="009D1F2B">
        <w:trPr>
          <w:cnfStyle w:val="100000000000" w:firstRow="1" w:lastRow="0" w:firstColumn="0" w:lastColumn="0" w:oddVBand="0" w:evenVBand="0" w:oddHBand="0" w:evenHBand="0" w:firstRowFirstColumn="0" w:firstRowLastColumn="0" w:lastRowFirstColumn="0" w:lastRowLastColumn="0"/>
        </w:trPr>
        <w:tc>
          <w:tcPr>
            <w:tcW w:w="2376" w:type="dxa"/>
            <w:tcBorders>
              <w:top w:val="single" w:sz="4" w:space="0" w:color="auto"/>
              <w:bottom w:val="single" w:sz="4" w:space="0" w:color="auto"/>
            </w:tcBorders>
            <w:vAlign w:val="center"/>
          </w:tcPr>
          <w:p w14:paraId="66A9FC2A" w14:textId="77777777" w:rsidR="009D1F2B" w:rsidRPr="009D1F2B" w:rsidRDefault="009D1F2B" w:rsidP="009D1F2B">
            <w:pPr>
              <w:widowControl/>
              <w:autoSpaceDE/>
              <w:autoSpaceDN/>
              <w:adjustRightInd/>
              <w:spacing w:line="240" w:lineRule="auto"/>
              <w:contextualSpacing/>
              <w:jc w:val="center"/>
              <w:textAlignment w:val="auto"/>
              <w:rPr>
                <w:rFonts w:eastAsia="Calibri"/>
                <w:szCs w:val="24"/>
                <w:lang w:eastAsia="en-US"/>
              </w:rPr>
            </w:pPr>
            <w:r w:rsidRPr="009D1F2B">
              <w:rPr>
                <w:rFonts w:eastAsia="Calibri"/>
                <w:szCs w:val="24"/>
                <w:lang w:eastAsia="en-US"/>
              </w:rPr>
              <w:t>Jenis Efek Samping</w:t>
            </w:r>
          </w:p>
        </w:tc>
        <w:tc>
          <w:tcPr>
            <w:tcW w:w="709" w:type="dxa"/>
            <w:tcBorders>
              <w:top w:val="single" w:sz="4" w:space="0" w:color="auto"/>
              <w:bottom w:val="single" w:sz="4" w:space="0" w:color="auto"/>
            </w:tcBorders>
            <w:vAlign w:val="center"/>
          </w:tcPr>
          <w:p w14:paraId="223BC601" w14:textId="77777777" w:rsidR="009D1F2B" w:rsidRPr="009D1F2B" w:rsidRDefault="009D1F2B" w:rsidP="009D1F2B">
            <w:pPr>
              <w:widowControl/>
              <w:autoSpaceDE/>
              <w:autoSpaceDN/>
              <w:adjustRightInd/>
              <w:spacing w:line="240" w:lineRule="auto"/>
              <w:contextualSpacing/>
              <w:jc w:val="center"/>
              <w:textAlignment w:val="auto"/>
              <w:rPr>
                <w:rFonts w:eastAsia="Calibri"/>
                <w:szCs w:val="24"/>
                <w:lang w:eastAsia="en-US"/>
              </w:rPr>
            </w:pPr>
            <w:r w:rsidRPr="009D1F2B">
              <w:rPr>
                <w:rFonts w:eastAsia="Calibri"/>
                <w:szCs w:val="24"/>
                <w:lang w:eastAsia="en-US"/>
              </w:rPr>
              <w:t>N</w:t>
            </w:r>
          </w:p>
        </w:tc>
        <w:tc>
          <w:tcPr>
            <w:cnfStyle w:val="000100000000" w:firstRow="0" w:lastRow="0" w:firstColumn="0" w:lastColumn="1" w:oddVBand="0" w:evenVBand="0" w:oddHBand="0" w:evenHBand="0" w:firstRowFirstColumn="0" w:firstRowLastColumn="0" w:lastRowFirstColumn="0" w:lastRowLastColumn="0"/>
            <w:tcW w:w="1418" w:type="dxa"/>
            <w:tcBorders>
              <w:top w:val="single" w:sz="4" w:space="0" w:color="auto"/>
              <w:bottom w:val="single" w:sz="4" w:space="0" w:color="auto"/>
            </w:tcBorders>
            <w:vAlign w:val="center"/>
          </w:tcPr>
          <w:p w14:paraId="6A27D9AB" w14:textId="77777777" w:rsidR="009D1F2B" w:rsidRPr="009D1F2B" w:rsidRDefault="009D1F2B" w:rsidP="009D1F2B">
            <w:pPr>
              <w:widowControl/>
              <w:autoSpaceDE/>
              <w:autoSpaceDN/>
              <w:adjustRightInd/>
              <w:spacing w:line="240" w:lineRule="auto"/>
              <w:contextualSpacing/>
              <w:jc w:val="center"/>
              <w:textAlignment w:val="auto"/>
              <w:rPr>
                <w:rFonts w:eastAsia="Calibri"/>
                <w:szCs w:val="24"/>
                <w:lang w:eastAsia="en-US"/>
              </w:rPr>
            </w:pPr>
            <w:r w:rsidRPr="009D1F2B">
              <w:rPr>
                <w:rFonts w:eastAsia="Calibri"/>
                <w:szCs w:val="24"/>
                <w:lang w:eastAsia="en-US"/>
              </w:rPr>
              <w:t>%</w:t>
            </w:r>
          </w:p>
        </w:tc>
      </w:tr>
      <w:tr w:rsidR="009D1F2B" w:rsidRPr="009D1F2B" w14:paraId="15260EC9" w14:textId="77777777" w:rsidTr="009D1F2B">
        <w:tc>
          <w:tcPr>
            <w:tcW w:w="2376" w:type="dxa"/>
            <w:tcBorders>
              <w:top w:val="single" w:sz="4" w:space="0" w:color="auto"/>
            </w:tcBorders>
          </w:tcPr>
          <w:p w14:paraId="5F79A1A9" w14:textId="77777777" w:rsidR="009D1F2B" w:rsidRPr="009D1F2B" w:rsidRDefault="009D1F2B" w:rsidP="009D1F2B">
            <w:pPr>
              <w:widowControl/>
              <w:autoSpaceDE/>
              <w:autoSpaceDN/>
              <w:adjustRightInd/>
              <w:spacing w:line="240" w:lineRule="auto"/>
              <w:contextualSpacing/>
              <w:jc w:val="left"/>
              <w:textAlignment w:val="auto"/>
              <w:rPr>
                <w:rFonts w:eastAsia="Calibri"/>
                <w:szCs w:val="24"/>
                <w:lang w:eastAsia="en-US"/>
              </w:rPr>
            </w:pPr>
            <w:r w:rsidRPr="009D1F2B">
              <w:rPr>
                <w:rFonts w:eastAsia="Calibri"/>
                <w:szCs w:val="24"/>
                <w:lang w:eastAsia="en-US"/>
              </w:rPr>
              <w:t xml:space="preserve">Tidak mengalami efek samping </w:t>
            </w:r>
          </w:p>
        </w:tc>
        <w:tc>
          <w:tcPr>
            <w:tcW w:w="709" w:type="dxa"/>
            <w:tcBorders>
              <w:top w:val="single" w:sz="4" w:space="0" w:color="auto"/>
            </w:tcBorders>
          </w:tcPr>
          <w:p w14:paraId="583BAB0E" w14:textId="77777777" w:rsidR="009D1F2B" w:rsidRPr="009D1F2B" w:rsidRDefault="009D1F2B" w:rsidP="009D1F2B">
            <w:pPr>
              <w:widowControl/>
              <w:autoSpaceDE/>
              <w:autoSpaceDN/>
              <w:adjustRightInd/>
              <w:spacing w:line="240" w:lineRule="auto"/>
              <w:contextualSpacing/>
              <w:jc w:val="center"/>
              <w:textAlignment w:val="auto"/>
              <w:rPr>
                <w:rFonts w:eastAsia="Calibri"/>
                <w:szCs w:val="24"/>
                <w:lang w:eastAsia="en-US"/>
              </w:rPr>
            </w:pPr>
            <w:r w:rsidRPr="009D1F2B">
              <w:rPr>
                <w:rFonts w:eastAsia="Calibri"/>
                <w:szCs w:val="24"/>
                <w:lang w:eastAsia="en-US"/>
              </w:rPr>
              <w:t>84</w:t>
            </w:r>
          </w:p>
        </w:tc>
        <w:tc>
          <w:tcPr>
            <w:cnfStyle w:val="000100000000" w:firstRow="0" w:lastRow="0" w:firstColumn="0" w:lastColumn="1" w:oddVBand="0" w:evenVBand="0" w:oddHBand="0" w:evenHBand="0" w:firstRowFirstColumn="0" w:firstRowLastColumn="0" w:lastRowFirstColumn="0" w:lastRowLastColumn="0"/>
            <w:tcW w:w="1418" w:type="dxa"/>
            <w:tcBorders>
              <w:top w:val="single" w:sz="4" w:space="0" w:color="auto"/>
            </w:tcBorders>
          </w:tcPr>
          <w:p w14:paraId="041E300D" w14:textId="77777777" w:rsidR="009D1F2B" w:rsidRPr="009D1F2B" w:rsidRDefault="009D1F2B" w:rsidP="009D1F2B">
            <w:pPr>
              <w:widowControl/>
              <w:autoSpaceDE/>
              <w:autoSpaceDN/>
              <w:adjustRightInd/>
              <w:spacing w:line="240" w:lineRule="auto"/>
              <w:contextualSpacing/>
              <w:jc w:val="center"/>
              <w:textAlignment w:val="auto"/>
              <w:rPr>
                <w:rFonts w:eastAsia="Calibri"/>
                <w:b w:val="0"/>
                <w:bCs w:val="0"/>
                <w:szCs w:val="24"/>
                <w:lang w:eastAsia="en-US"/>
              </w:rPr>
            </w:pPr>
            <w:r w:rsidRPr="009D1F2B">
              <w:rPr>
                <w:rFonts w:eastAsia="Calibri"/>
                <w:b w:val="0"/>
                <w:bCs w:val="0"/>
                <w:szCs w:val="24"/>
                <w:lang w:eastAsia="en-US"/>
              </w:rPr>
              <w:t>71,1</w:t>
            </w:r>
          </w:p>
        </w:tc>
      </w:tr>
      <w:tr w:rsidR="009D1F2B" w:rsidRPr="009D1F2B" w14:paraId="4F0D699F" w14:textId="77777777" w:rsidTr="009D1F2B">
        <w:tc>
          <w:tcPr>
            <w:tcW w:w="2376" w:type="dxa"/>
          </w:tcPr>
          <w:p w14:paraId="7011E100" w14:textId="77777777" w:rsidR="009D1F2B" w:rsidRPr="009D1F2B" w:rsidRDefault="009D1F2B" w:rsidP="009D1F2B">
            <w:pPr>
              <w:widowControl/>
              <w:autoSpaceDE/>
              <w:autoSpaceDN/>
              <w:adjustRightInd/>
              <w:spacing w:line="240" w:lineRule="auto"/>
              <w:contextualSpacing/>
              <w:jc w:val="left"/>
              <w:textAlignment w:val="auto"/>
              <w:rPr>
                <w:rFonts w:eastAsia="Calibri"/>
                <w:szCs w:val="24"/>
                <w:lang w:eastAsia="en-US"/>
              </w:rPr>
            </w:pPr>
            <w:r w:rsidRPr="009D1F2B">
              <w:rPr>
                <w:rFonts w:eastAsia="Calibri"/>
                <w:szCs w:val="24"/>
                <w:lang w:eastAsia="en-US"/>
              </w:rPr>
              <w:t>Dispepsia</w:t>
            </w:r>
          </w:p>
        </w:tc>
        <w:tc>
          <w:tcPr>
            <w:tcW w:w="709" w:type="dxa"/>
          </w:tcPr>
          <w:p w14:paraId="78F1AEBD" w14:textId="77777777" w:rsidR="009D1F2B" w:rsidRPr="009D1F2B" w:rsidRDefault="009D1F2B" w:rsidP="009D1F2B">
            <w:pPr>
              <w:widowControl/>
              <w:autoSpaceDE/>
              <w:autoSpaceDN/>
              <w:adjustRightInd/>
              <w:spacing w:line="240" w:lineRule="auto"/>
              <w:contextualSpacing/>
              <w:jc w:val="center"/>
              <w:textAlignment w:val="auto"/>
              <w:rPr>
                <w:rFonts w:eastAsia="Calibri"/>
                <w:szCs w:val="24"/>
                <w:lang w:eastAsia="en-US"/>
              </w:rPr>
            </w:pPr>
            <w:r w:rsidRPr="009D1F2B">
              <w:rPr>
                <w:rFonts w:eastAsia="Calibri"/>
                <w:szCs w:val="24"/>
                <w:lang w:eastAsia="en-US"/>
              </w:rPr>
              <w:t>26</w:t>
            </w:r>
          </w:p>
        </w:tc>
        <w:tc>
          <w:tcPr>
            <w:cnfStyle w:val="000100000000" w:firstRow="0" w:lastRow="0" w:firstColumn="0" w:lastColumn="1" w:oddVBand="0" w:evenVBand="0" w:oddHBand="0" w:evenHBand="0" w:firstRowFirstColumn="0" w:firstRowLastColumn="0" w:lastRowFirstColumn="0" w:lastRowLastColumn="0"/>
            <w:tcW w:w="1418" w:type="dxa"/>
          </w:tcPr>
          <w:p w14:paraId="6AC97EAC" w14:textId="77777777" w:rsidR="009D1F2B" w:rsidRPr="009D1F2B" w:rsidRDefault="009D1F2B" w:rsidP="009D1F2B">
            <w:pPr>
              <w:widowControl/>
              <w:autoSpaceDE/>
              <w:autoSpaceDN/>
              <w:adjustRightInd/>
              <w:spacing w:line="240" w:lineRule="auto"/>
              <w:contextualSpacing/>
              <w:jc w:val="center"/>
              <w:textAlignment w:val="auto"/>
              <w:rPr>
                <w:rFonts w:eastAsia="Calibri"/>
                <w:b w:val="0"/>
                <w:bCs w:val="0"/>
                <w:szCs w:val="24"/>
                <w:lang w:eastAsia="en-US"/>
              </w:rPr>
            </w:pPr>
            <w:r w:rsidRPr="009D1F2B">
              <w:rPr>
                <w:rFonts w:eastAsia="Calibri"/>
                <w:b w:val="0"/>
                <w:bCs w:val="0"/>
                <w:szCs w:val="24"/>
                <w:lang w:eastAsia="en-US"/>
              </w:rPr>
              <w:t>22,0</w:t>
            </w:r>
          </w:p>
        </w:tc>
      </w:tr>
      <w:tr w:rsidR="009D1F2B" w:rsidRPr="009D1F2B" w14:paraId="714191E5" w14:textId="77777777" w:rsidTr="009D1F2B">
        <w:tc>
          <w:tcPr>
            <w:tcW w:w="2376" w:type="dxa"/>
            <w:tcBorders>
              <w:top w:val="nil"/>
              <w:bottom w:val="nil"/>
            </w:tcBorders>
          </w:tcPr>
          <w:p w14:paraId="5099CA35" w14:textId="77777777" w:rsidR="009D1F2B" w:rsidRPr="009D1F2B" w:rsidRDefault="009D1F2B" w:rsidP="009D1F2B">
            <w:pPr>
              <w:widowControl/>
              <w:autoSpaceDE/>
              <w:autoSpaceDN/>
              <w:adjustRightInd/>
              <w:spacing w:line="240" w:lineRule="auto"/>
              <w:contextualSpacing/>
              <w:jc w:val="left"/>
              <w:textAlignment w:val="auto"/>
              <w:rPr>
                <w:rFonts w:eastAsia="Calibri"/>
                <w:szCs w:val="24"/>
                <w:lang w:eastAsia="en-US"/>
              </w:rPr>
            </w:pPr>
            <w:r w:rsidRPr="009D1F2B">
              <w:rPr>
                <w:rFonts w:eastAsia="Calibri"/>
                <w:szCs w:val="24"/>
                <w:lang w:eastAsia="en-US"/>
              </w:rPr>
              <w:t>Vertigo</w:t>
            </w:r>
          </w:p>
        </w:tc>
        <w:tc>
          <w:tcPr>
            <w:tcW w:w="709" w:type="dxa"/>
            <w:tcBorders>
              <w:top w:val="nil"/>
              <w:bottom w:val="nil"/>
            </w:tcBorders>
          </w:tcPr>
          <w:p w14:paraId="36EF3E1A" w14:textId="77777777" w:rsidR="009D1F2B" w:rsidRPr="009D1F2B" w:rsidRDefault="009D1F2B" w:rsidP="009D1F2B">
            <w:pPr>
              <w:widowControl/>
              <w:autoSpaceDE/>
              <w:autoSpaceDN/>
              <w:adjustRightInd/>
              <w:spacing w:line="240" w:lineRule="auto"/>
              <w:contextualSpacing/>
              <w:jc w:val="center"/>
              <w:textAlignment w:val="auto"/>
              <w:rPr>
                <w:rFonts w:eastAsia="Calibri"/>
                <w:szCs w:val="24"/>
                <w:lang w:eastAsia="en-US"/>
              </w:rPr>
            </w:pPr>
            <w:r w:rsidRPr="009D1F2B">
              <w:rPr>
                <w:rFonts w:eastAsia="Calibri"/>
                <w:szCs w:val="24"/>
                <w:lang w:eastAsia="en-US"/>
              </w:rPr>
              <w:t>1</w:t>
            </w:r>
          </w:p>
        </w:tc>
        <w:tc>
          <w:tcPr>
            <w:cnfStyle w:val="000100000000" w:firstRow="0" w:lastRow="0" w:firstColumn="0" w:lastColumn="1" w:oddVBand="0" w:evenVBand="0" w:oddHBand="0" w:evenHBand="0" w:firstRowFirstColumn="0" w:firstRowLastColumn="0" w:lastRowFirstColumn="0" w:lastRowLastColumn="0"/>
            <w:tcW w:w="1418" w:type="dxa"/>
            <w:tcBorders>
              <w:top w:val="nil"/>
              <w:bottom w:val="nil"/>
            </w:tcBorders>
          </w:tcPr>
          <w:p w14:paraId="132E4609" w14:textId="77777777" w:rsidR="009D1F2B" w:rsidRPr="009D1F2B" w:rsidRDefault="009D1F2B" w:rsidP="009D1F2B">
            <w:pPr>
              <w:widowControl/>
              <w:autoSpaceDE/>
              <w:autoSpaceDN/>
              <w:adjustRightInd/>
              <w:spacing w:line="240" w:lineRule="auto"/>
              <w:contextualSpacing/>
              <w:jc w:val="center"/>
              <w:textAlignment w:val="auto"/>
              <w:rPr>
                <w:rFonts w:eastAsia="Calibri"/>
                <w:b w:val="0"/>
                <w:bCs w:val="0"/>
                <w:szCs w:val="24"/>
                <w:lang w:eastAsia="en-US"/>
              </w:rPr>
            </w:pPr>
            <w:r w:rsidRPr="009D1F2B">
              <w:rPr>
                <w:rFonts w:eastAsia="Calibri"/>
                <w:b w:val="0"/>
                <w:bCs w:val="0"/>
                <w:szCs w:val="24"/>
                <w:lang w:eastAsia="en-US"/>
              </w:rPr>
              <w:t>0,8</w:t>
            </w:r>
          </w:p>
        </w:tc>
      </w:tr>
      <w:tr w:rsidR="009D1F2B" w:rsidRPr="009D1F2B" w14:paraId="7CF99C69" w14:textId="77777777" w:rsidTr="009D1F2B">
        <w:tc>
          <w:tcPr>
            <w:tcW w:w="2376" w:type="dxa"/>
            <w:tcBorders>
              <w:top w:val="nil"/>
              <w:bottom w:val="nil"/>
            </w:tcBorders>
          </w:tcPr>
          <w:p w14:paraId="7B86FB18" w14:textId="77777777" w:rsidR="009D1F2B" w:rsidRPr="009D1F2B" w:rsidRDefault="009D1F2B" w:rsidP="009D1F2B">
            <w:pPr>
              <w:widowControl/>
              <w:autoSpaceDE/>
              <w:autoSpaceDN/>
              <w:adjustRightInd/>
              <w:spacing w:line="240" w:lineRule="auto"/>
              <w:contextualSpacing/>
              <w:jc w:val="left"/>
              <w:textAlignment w:val="auto"/>
              <w:rPr>
                <w:rFonts w:eastAsia="Calibri"/>
                <w:szCs w:val="24"/>
                <w:lang w:eastAsia="en-US"/>
              </w:rPr>
            </w:pPr>
            <w:r w:rsidRPr="009D1F2B">
              <w:rPr>
                <w:rFonts w:eastAsia="Calibri"/>
                <w:szCs w:val="24"/>
                <w:lang w:eastAsia="en-US"/>
              </w:rPr>
              <w:t>Angina pectoris</w:t>
            </w:r>
          </w:p>
        </w:tc>
        <w:tc>
          <w:tcPr>
            <w:tcW w:w="709" w:type="dxa"/>
            <w:tcBorders>
              <w:top w:val="nil"/>
              <w:bottom w:val="nil"/>
            </w:tcBorders>
          </w:tcPr>
          <w:p w14:paraId="045BC022" w14:textId="77777777" w:rsidR="009D1F2B" w:rsidRPr="009D1F2B" w:rsidRDefault="009D1F2B" w:rsidP="009D1F2B">
            <w:pPr>
              <w:widowControl/>
              <w:autoSpaceDE/>
              <w:autoSpaceDN/>
              <w:adjustRightInd/>
              <w:spacing w:line="240" w:lineRule="auto"/>
              <w:contextualSpacing/>
              <w:jc w:val="center"/>
              <w:textAlignment w:val="auto"/>
              <w:rPr>
                <w:rFonts w:eastAsia="Calibri"/>
                <w:szCs w:val="24"/>
                <w:lang w:eastAsia="en-US"/>
              </w:rPr>
            </w:pPr>
            <w:r w:rsidRPr="009D1F2B">
              <w:rPr>
                <w:rFonts w:eastAsia="Calibri"/>
                <w:szCs w:val="24"/>
                <w:lang w:eastAsia="en-US"/>
              </w:rPr>
              <w:t>4</w:t>
            </w:r>
          </w:p>
        </w:tc>
        <w:tc>
          <w:tcPr>
            <w:cnfStyle w:val="000100000000" w:firstRow="0" w:lastRow="0" w:firstColumn="0" w:lastColumn="1" w:oddVBand="0" w:evenVBand="0" w:oddHBand="0" w:evenHBand="0" w:firstRowFirstColumn="0" w:firstRowLastColumn="0" w:lastRowFirstColumn="0" w:lastRowLastColumn="0"/>
            <w:tcW w:w="1418" w:type="dxa"/>
            <w:tcBorders>
              <w:top w:val="nil"/>
              <w:bottom w:val="nil"/>
            </w:tcBorders>
          </w:tcPr>
          <w:p w14:paraId="4EE687EE" w14:textId="77777777" w:rsidR="009D1F2B" w:rsidRPr="009D1F2B" w:rsidRDefault="009D1F2B" w:rsidP="009D1F2B">
            <w:pPr>
              <w:widowControl/>
              <w:autoSpaceDE/>
              <w:autoSpaceDN/>
              <w:adjustRightInd/>
              <w:spacing w:line="240" w:lineRule="auto"/>
              <w:contextualSpacing/>
              <w:jc w:val="center"/>
              <w:textAlignment w:val="auto"/>
              <w:rPr>
                <w:rFonts w:eastAsia="Calibri"/>
                <w:b w:val="0"/>
                <w:bCs w:val="0"/>
                <w:szCs w:val="24"/>
                <w:lang w:eastAsia="en-US"/>
              </w:rPr>
            </w:pPr>
            <w:r w:rsidRPr="009D1F2B">
              <w:rPr>
                <w:rFonts w:eastAsia="Calibri"/>
                <w:b w:val="0"/>
                <w:bCs w:val="0"/>
                <w:szCs w:val="24"/>
                <w:lang w:eastAsia="en-US"/>
              </w:rPr>
              <w:t>3,4</w:t>
            </w:r>
          </w:p>
        </w:tc>
      </w:tr>
      <w:tr w:rsidR="009D1F2B" w:rsidRPr="009D1F2B" w14:paraId="4F13EB07" w14:textId="77777777" w:rsidTr="009D1F2B">
        <w:tc>
          <w:tcPr>
            <w:tcW w:w="2376" w:type="dxa"/>
            <w:tcBorders>
              <w:top w:val="nil"/>
              <w:bottom w:val="nil"/>
            </w:tcBorders>
          </w:tcPr>
          <w:p w14:paraId="0EF25804" w14:textId="77777777" w:rsidR="009D1F2B" w:rsidRPr="009D1F2B" w:rsidRDefault="009D1F2B" w:rsidP="009D1F2B">
            <w:pPr>
              <w:widowControl/>
              <w:autoSpaceDE/>
              <w:autoSpaceDN/>
              <w:adjustRightInd/>
              <w:spacing w:line="240" w:lineRule="auto"/>
              <w:contextualSpacing/>
              <w:jc w:val="left"/>
              <w:textAlignment w:val="auto"/>
              <w:rPr>
                <w:rFonts w:eastAsia="Calibri"/>
                <w:szCs w:val="24"/>
                <w:lang w:eastAsia="en-US"/>
              </w:rPr>
            </w:pPr>
            <w:r w:rsidRPr="009D1F2B">
              <w:rPr>
                <w:rFonts w:eastAsia="Calibri"/>
                <w:szCs w:val="24"/>
                <w:lang w:eastAsia="en-US"/>
              </w:rPr>
              <w:t>Dyspnea</w:t>
            </w:r>
          </w:p>
        </w:tc>
        <w:tc>
          <w:tcPr>
            <w:tcW w:w="709" w:type="dxa"/>
            <w:tcBorders>
              <w:top w:val="nil"/>
              <w:bottom w:val="nil"/>
            </w:tcBorders>
          </w:tcPr>
          <w:p w14:paraId="02274C47" w14:textId="77777777" w:rsidR="009D1F2B" w:rsidRPr="009D1F2B" w:rsidRDefault="009D1F2B" w:rsidP="009D1F2B">
            <w:pPr>
              <w:widowControl/>
              <w:autoSpaceDE/>
              <w:autoSpaceDN/>
              <w:adjustRightInd/>
              <w:spacing w:line="240" w:lineRule="auto"/>
              <w:contextualSpacing/>
              <w:jc w:val="center"/>
              <w:textAlignment w:val="auto"/>
              <w:rPr>
                <w:rFonts w:eastAsia="Calibri"/>
                <w:szCs w:val="24"/>
                <w:lang w:eastAsia="en-US"/>
              </w:rPr>
            </w:pPr>
            <w:r w:rsidRPr="009D1F2B">
              <w:rPr>
                <w:rFonts w:eastAsia="Calibri"/>
                <w:szCs w:val="24"/>
                <w:lang w:eastAsia="en-US"/>
              </w:rPr>
              <w:t>1</w:t>
            </w:r>
          </w:p>
        </w:tc>
        <w:tc>
          <w:tcPr>
            <w:cnfStyle w:val="000100000000" w:firstRow="0" w:lastRow="0" w:firstColumn="0" w:lastColumn="1" w:oddVBand="0" w:evenVBand="0" w:oddHBand="0" w:evenHBand="0" w:firstRowFirstColumn="0" w:firstRowLastColumn="0" w:lastRowFirstColumn="0" w:lastRowLastColumn="0"/>
            <w:tcW w:w="1418" w:type="dxa"/>
            <w:tcBorders>
              <w:top w:val="nil"/>
              <w:bottom w:val="nil"/>
            </w:tcBorders>
          </w:tcPr>
          <w:p w14:paraId="38A5E376" w14:textId="77777777" w:rsidR="009D1F2B" w:rsidRPr="009D1F2B" w:rsidRDefault="009D1F2B" w:rsidP="009D1F2B">
            <w:pPr>
              <w:widowControl/>
              <w:autoSpaceDE/>
              <w:autoSpaceDN/>
              <w:adjustRightInd/>
              <w:spacing w:line="240" w:lineRule="auto"/>
              <w:contextualSpacing/>
              <w:jc w:val="center"/>
              <w:textAlignment w:val="auto"/>
              <w:rPr>
                <w:rFonts w:eastAsia="Calibri"/>
                <w:b w:val="0"/>
                <w:bCs w:val="0"/>
                <w:szCs w:val="24"/>
                <w:lang w:eastAsia="en-US"/>
              </w:rPr>
            </w:pPr>
            <w:r w:rsidRPr="009D1F2B">
              <w:rPr>
                <w:rFonts w:eastAsia="Calibri"/>
                <w:b w:val="0"/>
                <w:bCs w:val="0"/>
                <w:szCs w:val="24"/>
                <w:lang w:eastAsia="en-US"/>
              </w:rPr>
              <w:t>0,8</w:t>
            </w:r>
          </w:p>
        </w:tc>
      </w:tr>
      <w:tr w:rsidR="009D1F2B" w:rsidRPr="009D1F2B" w14:paraId="53C5E0DF" w14:textId="77777777" w:rsidTr="009D1F2B">
        <w:tc>
          <w:tcPr>
            <w:tcW w:w="2376" w:type="dxa"/>
            <w:tcBorders>
              <w:top w:val="nil"/>
              <w:bottom w:val="nil"/>
            </w:tcBorders>
          </w:tcPr>
          <w:p w14:paraId="4A2C4F1F" w14:textId="77777777" w:rsidR="009D1F2B" w:rsidRPr="009D1F2B" w:rsidRDefault="009D1F2B" w:rsidP="009D1F2B">
            <w:pPr>
              <w:widowControl/>
              <w:autoSpaceDE/>
              <w:autoSpaceDN/>
              <w:adjustRightInd/>
              <w:spacing w:line="240" w:lineRule="auto"/>
              <w:contextualSpacing/>
              <w:jc w:val="left"/>
              <w:textAlignment w:val="auto"/>
              <w:rPr>
                <w:rFonts w:eastAsia="Calibri"/>
                <w:szCs w:val="24"/>
                <w:lang w:eastAsia="en-US"/>
              </w:rPr>
            </w:pPr>
            <w:r w:rsidRPr="009D1F2B">
              <w:rPr>
                <w:rFonts w:eastAsia="Calibri"/>
                <w:szCs w:val="24"/>
                <w:lang w:eastAsia="en-US"/>
              </w:rPr>
              <w:t>Diare</w:t>
            </w:r>
          </w:p>
        </w:tc>
        <w:tc>
          <w:tcPr>
            <w:tcW w:w="709" w:type="dxa"/>
            <w:tcBorders>
              <w:top w:val="nil"/>
              <w:bottom w:val="nil"/>
            </w:tcBorders>
          </w:tcPr>
          <w:p w14:paraId="20E44177" w14:textId="77777777" w:rsidR="009D1F2B" w:rsidRPr="009D1F2B" w:rsidRDefault="009D1F2B" w:rsidP="009D1F2B">
            <w:pPr>
              <w:widowControl/>
              <w:autoSpaceDE/>
              <w:autoSpaceDN/>
              <w:adjustRightInd/>
              <w:spacing w:line="240" w:lineRule="auto"/>
              <w:contextualSpacing/>
              <w:jc w:val="center"/>
              <w:textAlignment w:val="auto"/>
              <w:rPr>
                <w:rFonts w:eastAsia="Calibri"/>
                <w:szCs w:val="24"/>
                <w:lang w:eastAsia="en-US"/>
              </w:rPr>
            </w:pPr>
            <w:r w:rsidRPr="009D1F2B">
              <w:rPr>
                <w:rFonts w:eastAsia="Calibri"/>
                <w:szCs w:val="24"/>
                <w:lang w:eastAsia="en-US"/>
              </w:rPr>
              <w:t>1</w:t>
            </w:r>
          </w:p>
        </w:tc>
        <w:tc>
          <w:tcPr>
            <w:cnfStyle w:val="000100000000" w:firstRow="0" w:lastRow="0" w:firstColumn="0" w:lastColumn="1" w:oddVBand="0" w:evenVBand="0" w:oddHBand="0" w:evenHBand="0" w:firstRowFirstColumn="0" w:firstRowLastColumn="0" w:lastRowFirstColumn="0" w:lastRowLastColumn="0"/>
            <w:tcW w:w="1418" w:type="dxa"/>
            <w:tcBorders>
              <w:top w:val="nil"/>
              <w:bottom w:val="nil"/>
            </w:tcBorders>
          </w:tcPr>
          <w:p w14:paraId="6FB0269A" w14:textId="77777777" w:rsidR="009D1F2B" w:rsidRPr="009D1F2B" w:rsidRDefault="009D1F2B" w:rsidP="009D1F2B">
            <w:pPr>
              <w:widowControl/>
              <w:autoSpaceDE/>
              <w:autoSpaceDN/>
              <w:adjustRightInd/>
              <w:spacing w:line="240" w:lineRule="auto"/>
              <w:contextualSpacing/>
              <w:jc w:val="center"/>
              <w:textAlignment w:val="auto"/>
              <w:rPr>
                <w:rFonts w:eastAsia="Calibri"/>
                <w:b w:val="0"/>
                <w:bCs w:val="0"/>
                <w:szCs w:val="24"/>
                <w:lang w:eastAsia="en-US"/>
              </w:rPr>
            </w:pPr>
            <w:r w:rsidRPr="009D1F2B">
              <w:rPr>
                <w:rFonts w:eastAsia="Calibri"/>
                <w:b w:val="0"/>
                <w:bCs w:val="0"/>
                <w:szCs w:val="24"/>
                <w:lang w:eastAsia="en-US"/>
              </w:rPr>
              <w:t>0,8</w:t>
            </w:r>
          </w:p>
        </w:tc>
      </w:tr>
      <w:tr w:rsidR="009D1F2B" w:rsidRPr="009D1F2B" w14:paraId="20898CDB" w14:textId="77777777" w:rsidTr="00035D1F">
        <w:tc>
          <w:tcPr>
            <w:tcW w:w="2376" w:type="dxa"/>
            <w:tcBorders>
              <w:top w:val="nil"/>
              <w:bottom w:val="single" w:sz="4" w:space="0" w:color="auto"/>
            </w:tcBorders>
          </w:tcPr>
          <w:p w14:paraId="6950BFD3" w14:textId="77777777" w:rsidR="009D1F2B" w:rsidRPr="009D1F2B" w:rsidRDefault="009D1F2B" w:rsidP="009D1F2B">
            <w:pPr>
              <w:widowControl/>
              <w:autoSpaceDE/>
              <w:autoSpaceDN/>
              <w:adjustRightInd/>
              <w:spacing w:line="240" w:lineRule="auto"/>
              <w:contextualSpacing/>
              <w:jc w:val="left"/>
              <w:textAlignment w:val="auto"/>
              <w:rPr>
                <w:rFonts w:eastAsia="Calibri"/>
                <w:szCs w:val="24"/>
                <w:lang w:eastAsia="en-US"/>
              </w:rPr>
            </w:pPr>
            <w:r w:rsidRPr="009D1F2B">
              <w:rPr>
                <w:rFonts w:eastAsia="Calibri"/>
                <w:szCs w:val="24"/>
                <w:lang w:eastAsia="en-US"/>
              </w:rPr>
              <w:t>Retensi urine</w:t>
            </w:r>
          </w:p>
        </w:tc>
        <w:tc>
          <w:tcPr>
            <w:tcW w:w="709" w:type="dxa"/>
            <w:tcBorders>
              <w:top w:val="nil"/>
              <w:bottom w:val="single" w:sz="4" w:space="0" w:color="auto"/>
            </w:tcBorders>
          </w:tcPr>
          <w:p w14:paraId="59DBE24F" w14:textId="77777777" w:rsidR="009D1F2B" w:rsidRPr="009D1F2B" w:rsidRDefault="009D1F2B" w:rsidP="009D1F2B">
            <w:pPr>
              <w:widowControl/>
              <w:autoSpaceDE/>
              <w:autoSpaceDN/>
              <w:adjustRightInd/>
              <w:spacing w:line="240" w:lineRule="auto"/>
              <w:contextualSpacing/>
              <w:jc w:val="center"/>
              <w:textAlignment w:val="auto"/>
              <w:rPr>
                <w:rFonts w:eastAsia="Calibri"/>
                <w:szCs w:val="24"/>
                <w:lang w:eastAsia="en-US"/>
              </w:rPr>
            </w:pPr>
            <w:r w:rsidRPr="009D1F2B">
              <w:rPr>
                <w:rFonts w:eastAsia="Calibri"/>
                <w:szCs w:val="24"/>
                <w:lang w:eastAsia="en-US"/>
              </w:rPr>
              <w:t>1</w:t>
            </w:r>
          </w:p>
        </w:tc>
        <w:tc>
          <w:tcPr>
            <w:cnfStyle w:val="000100000000" w:firstRow="0" w:lastRow="0" w:firstColumn="0" w:lastColumn="1" w:oddVBand="0" w:evenVBand="0" w:oddHBand="0" w:evenHBand="0" w:firstRowFirstColumn="0" w:firstRowLastColumn="0" w:lastRowFirstColumn="0" w:lastRowLastColumn="0"/>
            <w:tcW w:w="1418" w:type="dxa"/>
            <w:tcBorders>
              <w:top w:val="nil"/>
              <w:bottom w:val="single" w:sz="4" w:space="0" w:color="auto"/>
            </w:tcBorders>
          </w:tcPr>
          <w:p w14:paraId="6385D6AD" w14:textId="77777777" w:rsidR="009D1F2B" w:rsidRPr="009D1F2B" w:rsidRDefault="009D1F2B" w:rsidP="009D1F2B">
            <w:pPr>
              <w:widowControl/>
              <w:autoSpaceDE/>
              <w:autoSpaceDN/>
              <w:adjustRightInd/>
              <w:spacing w:line="240" w:lineRule="auto"/>
              <w:contextualSpacing/>
              <w:jc w:val="center"/>
              <w:textAlignment w:val="auto"/>
              <w:rPr>
                <w:rFonts w:eastAsia="Calibri"/>
                <w:b w:val="0"/>
                <w:bCs w:val="0"/>
                <w:szCs w:val="24"/>
                <w:lang w:eastAsia="en-US"/>
              </w:rPr>
            </w:pPr>
            <w:r w:rsidRPr="009D1F2B">
              <w:rPr>
                <w:rFonts w:eastAsia="Calibri"/>
                <w:b w:val="0"/>
                <w:bCs w:val="0"/>
                <w:szCs w:val="24"/>
                <w:lang w:eastAsia="en-US"/>
              </w:rPr>
              <w:t>0,8</w:t>
            </w:r>
          </w:p>
        </w:tc>
      </w:tr>
      <w:tr w:rsidR="009D1F2B" w:rsidRPr="009D1F2B" w14:paraId="4578259B" w14:textId="77777777" w:rsidTr="00035D1F">
        <w:tc>
          <w:tcPr>
            <w:tcW w:w="2376" w:type="dxa"/>
            <w:tcBorders>
              <w:top w:val="single" w:sz="4" w:space="0" w:color="auto"/>
              <w:bottom w:val="single" w:sz="4" w:space="0" w:color="auto"/>
            </w:tcBorders>
          </w:tcPr>
          <w:p w14:paraId="57ED7783" w14:textId="77777777" w:rsidR="009D1F2B" w:rsidRPr="009D1F2B" w:rsidRDefault="009D1F2B" w:rsidP="009D1F2B">
            <w:pPr>
              <w:widowControl/>
              <w:autoSpaceDE/>
              <w:autoSpaceDN/>
              <w:adjustRightInd/>
              <w:spacing w:line="240" w:lineRule="auto"/>
              <w:contextualSpacing/>
              <w:jc w:val="left"/>
              <w:textAlignment w:val="auto"/>
              <w:rPr>
                <w:rFonts w:eastAsia="Calibri"/>
                <w:szCs w:val="24"/>
                <w:lang w:eastAsia="en-US"/>
              </w:rPr>
            </w:pPr>
            <w:r w:rsidRPr="009D1F2B">
              <w:rPr>
                <w:rFonts w:eastAsia="Calibri"/>
                <w:szCs w:val="24"/>
                <w:lang w:eastAsia="en-US"/>
              </w:rPr>
              <w:t>Jumlah</w:t>
            </w:r>
          </w:p>
        </w:tc>
        <w:tc>
          <w:tcPr>
            <w:tcW w:w="709" w:type="dxa"/>
            <w:tcBorders>
              <w:top w:val="single" w:sz="4" w:space="0" w:color="auto"/>
              <w:bottom w:val="single" w:sz="4" w:space="0" w:color="auto"/>
            </w:tcBorders>
          </w:tcPr>
          <w:p w14:paraId="4C0EC125" w14:textId="77777777" w:rsidR="009D1F2B" w:rsidRPr="009D1F2B" w:rsidRDefault="009D1F2B" w:rsidP="009D1F2B">
            <w:pPr>
              <w:widowControl/>
              <w:autoSpaceDE/>
              <w:autoSpaceDN/>
              <w:adjustRightInd/>
              <w:spacing w:line="240" w:lineRule="auto"/>
              <w:contextualSpacing/>
              <w:jc w:val="center"/>
              <w:textAlignment w:val="auto"/>
              <w:rPr>
                <w:rFonts w:eastAsia="Calibri"/>
                <w:szCs w:val="24"/>
                <w:lang w:eastAsia="en-US"/>
              </w:rPr>
            </w:pPr>
            <w:r w:rsidRPr="009D1F2B">
              <w:rPr>
                <w:rFonts w:eastAsia="Calibri"/>
                <w:szCs w:val="24"/>
                <w:lang w:eastAsia="en-US"/>
              </w:rPr>
              <w:t>118</w:t>
            </w:r>
          </w:p>
        </w:tc>
        <w:tc>
          <w:tcPr>
            <w:cnfStyle w:val="000100000000" w:firstRow="0" w:lastRow="0" w:firstColumn="0" w:lastColumn="1" w:oddVBand="0" w:evenVBand="0" w:oddHBand="0" w:evenHBand="0" w:firstRowFirstColumn="0" w:firstRowLastColumn="0" w:lastRowFirstColumn="0" w:lastRowLastColumn="0"/>
            <w:tcW w:w="1418" w:type="dxa"/>
            <w:tcBorders>
              <w:top w:val="single" w:sz="4" w:space="0" w:color="auto"/>
              <w:bottom w:val="single" w:sz="4" w:space="0" w:color="auto"/>
            </w:tcBorders>
          </w:tcPr>
          <w:p w14:paraId="6D147923" w14:textId="77777777" w:rsidR="009D1F2B" w:rsidRPr="009D1F2B" w:rsidRDefault="009D1F2B" w:rsidP="009D1F2B">
            <w:pPr>
              <w:keepNext/>
              <w:widowControl/>
              <w:autoSpaceDE/>
              <w:autoSpaceDN/>
              <w:adjustRightInd/>
              <w:spacing w:line="240" w:lineRule="auto"/>
              <w:contextualSpacing/>
              <w:jc w:val="center"/>
              <w:textAlignment w:val="auto"/>
              <w:rPr>
                <w:rFonts w:eastAsia="Calibri"/>
                <w:b w:val="0"/>
                <w:bCs w:val="0"/>
                <w:szCs w:val="24"/>
                <w:lang w:eastAsia="en-US"/>
              </w:rPr>
            </w:pPr>
            <w:r w:rsidRPr="009D1F2B">
              <w:rPr>
                <w:rFonts w:eastAsia="Calibri"/>
                <w:b w:val="0"/>
                <w:bCs w:val="0"/>
                <w:szCs w:val="24"/>
                <w:lang w:eastAsia="en-US"/>
              </w:rPr>
              <w:t>100</w:t>
            </w:r>
          </w:p>
        </w:tc>
      </w:tr>
    </w:tbl>
    <w:p w14:paraId="538027EF" w14:textId="173E3A9A" w:rsidR="009D1F2B" w:rsidRPr="009D1F2B" w:rsidRDefault="009D1F2B" w:rsidP="009D1F2B">
      <w:pPr>
        <w:pStyle w:val="Addresses"/>
        <w:spacing w:line="240" w:lineRule="auto"/>
        <w:rPr>
          <w:i w:val="0"/>
          <w:color w:val="000000" w:themeColor="text1"/>
        </w:rPr>
      </w:pPr>
      <w:r>
        <w:rPr>
          <w:i w:val="0"/>
          <w:color w:val="000000" w:themeColor="text1"/>
        </w:rPr>
        <w:t>Tabel 3. Kemanan penggunaan OAINS</w:t>
      </w:r>
    </w:p>
    <w:p w14:paraId="69ADD54F" w14:textId="77777777" w:rsidR="007A5ECB" w:rsidRDefault="007A5ECB" w:rsidP="00D24FD8">
      <w:pPr>
        <w:pStyle w:val="Addresses"/>
        <w:spacing w:line="240" w:lineRule="auto"/>
        <w:jc w:val="left"/>
        <w:rPr>
          <w:i w:val="0"/>
          <w:color w:val="FF0000"/>
        </w:rPr>
      </w:pPr>
    </w:p>
    <w:p w14:paraId="72F2E258" w14:textId="2FFD1E27" w:rsidR="007A5ECB" w:rsidRPr="007A5ECB" w:rsidRDefault="007A5ECB" w:rsidP="007A5ECB">
      <w:pPr>
        <w:pStyle w:val="Addresses"/>
        <w:spacing w:line="240" w:lineRule="auto"/>
        <w:ind w:firstLine="567"/>
        <w:jc w:val="both"/>
        <w:rPr>
          <w:i w:val="0"/>
          <w:color w:val="000000" w:themeColor="text1"/>
        </w:rPr>
      </w:pPr>
      <w:r w:rsidRPr="007A5ECB">
        <w:rPr>
          <w:i w:val="0"/>
          <w:color w:val="000000" w:themeColor="text1"/>
        </w:rPr>
        <w:t xml:space="preserve">Bedasarkan tabel 3, mayoritas pasien osteoartritis tidak mengalami efek samping dari penggunaan OAINS, yaitu sebanyak 83 dari 118 pasien (70,3%). Hasil ini menunjukkan bahwa secara umum penggunaan OAINS relatif ditoleransi oleh sebagian besar pasien osteoartritis di RS </w:t>
      </w:r>
      <w:proofErr w:type="gramStart"/>
      <w:r w:rsidRPr="007A5ECB">
        <w:rPr>
          <w:i w:val="0"/>
          <w:color w:val="000000" w:themeColor="text1"/>
        </w:rPr>
        <w:t>X  Kudus</w:t>
      </w:r>
      <w:proofErr w:type="gramEnd"/>
      <w:r w:rsidRPr="007A5ECB">
        <w:rPr>
          <w:i w:val="0"/>
          <w:color w:val="000000" w:themeColor="text1"/>
        </w:rPr>
        <w:t xml:space="preserve">. </w:t>
      </w:r>
      <w:proofErr w:type="gramStart"/>
      <w:r w:rsidRPr="007A5ECB">
        <w:rPr>
          <w:i w:val="0"/>
          <w:color w:val="000000" w:themeColor="text1"/>
        </w:rPr>
        <w:t>Penelitian  ini</w:t>
      </w:r>
      <w:proofErr w:type="gramEnd"/>
      <w:r w:rsidRPr="007A5ECB">
        <w:rPr>
          <w:i w:val="0"/>
          <w:color w:val="000000" w:themeColor="text1"/>
        </w:rPr>
        <w:t xml:space="preserve"> sesuai dengan temuan studi </w:t>
      </w:r>
      <w:r w:rsidRPr="004851BA">
        <w:rPr>
          <w:color w:val="000000" w:themeColor="text1"/>
        </w:rPr>
        <w:t>review</w:t>
      </w:r>
      <w:r w:rsidRPr="007A5ECB">
        <w:rPr>
          <w:i w:val="0"/>
          <w:color w:val="000000" w:themeColor="text1"/>
        </w:rPr>
        <w:t xml:space="preserve"> yang menyatakan bahwa OAINS umumnya aman bila digunakan dengan dosis yang tepat dan dalam jangka waktu yang dianjurkan, serta </w:t>
      </w:r>
      <w:r w:rsidRPr="007A5ECB">
        <w:rPr>
          <w:i w:val="0"/>
          <w:color w:val="000000" w:themeColor="text1"/>
        </w:rPr>
        <w:t xml:space="preserve">ditetapkan berdasarkan profil risiko individu pasien, termasuk status gastrointestinal dan kardiovaskular mereka. Penelitian sebelumnya menekankan pentingnya evaluasi risiko sebelum menginisiasi terapi OAINS untuk meminimalkan kejadian efek samping </w:t>
      </w:r>
      <w:r>
        <w:rPr>
          <w:i w:val="0"/>
          <w:color w:val="000000" w:themeColor="text1"/>
        </w:rPr>
        <w:fldChar w:fldCharType="begin" w:fldLock="1"/>
      </w:r>
      <w:r>
        <w:rPr>
          <w:i w:val="0"/>
          <w:color w:val="000000" w:themeColor="text1"/>
        </w:rPr>
        <w:instrText>ADDIN CSL_CITATION {"citationItems":[{"id":"ITEM-1","itemData":{"DOI":"10.1007/s40122-021-00260-1","ISSN":"2193651X","abstract":"Osteoarthritis (OA) is a leading cause of disability among older adults worldwide. Treatment aims are to alleviate inflammatory pain and improve physical function through non-pharmacological and pharmacological interventions. Non-steroidal anti-inflammatory drugs (NSAIDs) are recommended as first-line therapy. However, selection is challenged by patient age, comorbidities and polypharmacy, and by the drug’s benefit/risk balance, all of which together influence the risk of cardiovascular (CV), gastrointestinal (GI) and renal adverse events (AEs). While the efficacy profile of the various NSAIDs is delineated, the differences in their safety profile are not straightforward. This narrative review provides practical indications by a multidisciplinary Italian expert panel for general practitioners and specialists managing OA patients with chronic inflammatory pain; the goal is to maximize therapy efficacy while reducing untoward effects caused by inappropriate NSAID use. The discussion on the best approach to NSAIDs spanned the following topics: (1) patient evaluation: investigate pain origin, duration and components together with possible risk factors for CV, GI and renal AEs; (2) non-pharmacological interventions: the physiatrist provides a person-centered, holistic approach accounting for all patient aspects; (3) pharmacological interventions: patient profile and drugs’ pharmacological properties affect NSAID selection, which drugs to be used in combination or to be avoided, formulation and therapy duration; (4) the pharmacologist’s, general practitioner’s and pain therapist’s points of view; (5) NSAID safety: the individual baseline risk and the drug’s safety profile are major determinants of CV, GI and renal risk; consider possible drug–drug interactions; (6) periodical re-evaluation of treatment response and adherence, using scales to assess pain and function.","author":[{"dropping-particle":"","family":"Magni","given":"Alberto","non-dropping-particle":"","parse-names":false,"suffix":""},{"dropping-particle":"","family":"Agostoni","given":"Piergiuseppe","non-dropping-particle":"","parse-names":false,"suffix":""},{"dropping-particle":"","family":"Bonezzi","given":"Cesare","non-dropping-particle":"","parse-names":false,"suffix":""},{"dropping-particle":"","family":"Massazza","given":"Giuseppe","non-dropping-particle":"","parse-names":false,"suffix":""},{"dropping-particle":"","family":"Menè","given":"Paolo","non-dropping-particle":"","parse-names":false,"suffix":""},{"dropping-particle":"","family":"Savarino","given":"Vincenzo","non-dropping-particle":"","parse-names":false,"suffix":""},{"dropping-particle":"","family":"Fornasari","given":"Diego","non-dropping-particle":"","parse-names":false,"suffix":""}],"container-title":"Pain and Therapy","id":"ITEM-1","issue":"2","issued":{"date-parts":[["2021"]]},"page":"783-808","title":"Management of Osteoarthritis: Expert Opinion on NSAIDs","type":"article-journal","volume":"10"},"uris":["http://www.mendeley.com/documents/?uuid=075d1811-b65b-4079-8268-542e3a7235d0"]}],"mendeley":{"formattedCitation":"(Magni et al., 2021)","plainTextFormattedCitation":"(Magni et al., 2021)","previouslyFormattedCitation":"(Magni et al., 2021)"},"properties":{"noteIndex":0},"schema":"https://github.com/citation-style-language/schema/raw/master/csl-citation.json"}</w:instrText>
      </w:r>
      <w:r>
        <w:rPr>
          <w:i w:val="0"/>
          <w:color w:val="000000" w:themeColor="text1"/>
        </w:rPr>
        <w:fldChar w:fldCharType="separate"/>
      </w:r>
      <w:r w:rsidRPr="007A5ECB">
        <w:rPr>
          <w:i w:val="0"/>
          <w:noProof/>
          <w:color w:val="000000" w:themeColor="text1"/>
        </w:rPr>
        <w:t xml:space="preserve">(Magni </w:t>
      </w:r>
      <w:r w:rsidRPr="007A5ECB">
        <w:rPr>
          <w:iCs/>
          <w:noProof/>
          <w:color w:val="000000" w:themeColor="text1"/>
        </w:rPr>
        <w:t>et al</w:t>
      </w:r>
      <w:r w:rsidRPr="007A5ECB">
        <w:rPr>
          <w:i w:val="0"/>
          <w:noProof/>
          <w:color w:val="000000" w:themeColor="text1"/>
        </w:rPr>
        <w:t>., 2021)</w:t>
      </w:r>
      <w:r>
        <w:rPr>
          <w:i w:val="0"/>
          <w:color w:val="000000" w:themeColor="text1"/>
        </w:rPr>
        <w:fldChar w:fldCharType="end"/>
      </w:r>
      <w:r>
        <w:rPr>
          <w:i w:val="0"/>
          <w:color w:val="000000" w:themeColor="text1"/>
        </w:rPr>
        <w:t>.</w:t>
      </w:r>
      <w:r w:rsidRPr="007A5ECB">
        <w:rPr>
          <w:i w:val="0"/>
          <w:color w:val="000000" w:themeColor="text1"/>
        </w:rPr>
        <w:t xml:space="preserve"> </w:t>
      </w:r>
    </w:p>
    <w:p w14:paraId="25302D4A" w14:textId="57452AE9" w:rsidR="007A5ECB" w:rsidRDefault="007A5ECB" w:rsidP="007A5ECB">
      <w:pPr>
        <w:pStyle w:val="Addresses"/>
        <w:spacing w:line="240" w:lineRule="auto"/>
        <w:ind w:firstLine="567"/>
        <w:jc w:val="both"/>
        <w:rPr>
          <w:i w:val="0"/>
          <w:color w:val="000000" w:themeColor="text1"/>
        </w:rPr>
      </w:pPr>
      <w:r w:rsidRPr="007A5ECB">
        <w:rPr>
          <w:i w:val="0"/>
          <w:color w:val="000000" w:themeColor="text1"/>
        </w:rPr>
        <w:t>Efek samping yang paling banyak ditemukan pada penelitian ini adalah dispepsia, yang dialami oleh 26 pasien (22,0%). Dispepsia merupakan efek sampi</w:t>
      </w:r>
      <w:r w:rsidR="004851BA">
        <w:rPr>
          <w:i w:val="0"/>
          <w:color w:val="000000" w:themeColor="text1"/>
        </w:rPr>
        <w:t>ng yang pal</w:t>
      </w:r>
      <w:r w:rsidRPr="007A5ECB">
        <w:rPr>
          <w:i w:val="0"/>
          <w:color w:val="000000" w:themeColor="text1"/>
        </w:rPr>
        <w:t>ing banyak dilaporkan setelah tidak ada gejala efek samping, terjadi pada 26 pasien (22,0%). Dispepsia merupakan</w:t>
      </w:r>
      <w:bookmarkStart w:id="14" w:name="_GoBack"/>
      <w:bookmarkEnd w:id="14"/>
      <w:r w:rsidRPr="007A5ECB">
        <w:rPr>
          <w:i w:val="0"/>
          <w:color w:val="000000" w:themeColor="text1"/>
        </w:rPr>
        <w:t xml:space="preserve"> sindrom gangguan pencernaan yang ditandai oleh nyeri ulu hati, kembung, dan rasa tidak nyaman di perut. Mekanisme terjadinya dispepsia pada pengguna OAINS terkait dengan inhibisi enzim COX-1 yang menurunkan produksi prostaglandin pelindung mukosa lambung, sehingga mukosa lambung lebih rentan terhadap iritasi dan asam lambung. Studi literatur yang sejalan dengan penelitian ini, menunjukkan bahwa penggunaan OAINS berkepanjangan meningkatkan risiko dispepsia dan komplikasi gastropati karena kerusakan pada lapisan pelindung mukosa lambung </w:t>
      </w:r>
      <w:r>
        <w:rPr>
          <w:i w:val="0"/>
          <w:color w:val="000000" w:themeColor="text1"/>
        </w:rPr>
        <w:fldChar w:fldCharType="begin" w:fldLock="1"/>
      </w:r>
      <w:r w:rsidR="00D124D8">
        <w:rPr>
          <w:i w:val="0"/>
          <w:color w:val="000000" w:themeColor="text1"/>
        </w:rPr>
        <w:instrText>ADDIN CSL_CITATION {"citationItems":[{"id":"ITEM-1","itemData":{"author":[{"dropping-particle":"","family":"Wahidah","given":"Putri Kamila","non-dropping-particle":"","parse-names":false,"suffix":""},{"dropping-particle":"","family":"Wulan","given":"Dyah","non-dropping-particle":"","parse-names":false,"suffix":""},{"dropping-particle":"","family":"Rengganis","given":"Sumekar","non-dropping-particle":"","parse-names":false,"suffix":""},{"dropping-particle":"","family":"Iyos","given":"Rekha Nova","non-dropping-particle":"","parse-names":false,"suffix":""},{"dropping-particle":"","family":"Studi","given":"Program","non-dropping-particle":"","parse-names":false,"suffix":""},{"dropping-particle":"","family":"Dokter","given":"Pendidikan","non-dropping-particle":"","parse-names":false,"suffix":""},{"dropping-particle":"","family":"Kedokteran","given":"Fakultas","non-dropping-particle":"","parse-names":false,"suffix":""},{"dropping-particle":"","family":"Lampung","given":"Universitas","non-dropping-particle":"","parse-names":false,"suffix":""},{"dropping-particle":"","family":"Masyarakat","given":"Bagian Kesehatan","non-dropping-particle":"","parse-names":false,"suffix":""},{"dropping-particle":"","family":"Kedokteran","given":"Fakultas","non-dropping-particle":"","parse-names":false,"suffix":""},{"dropping-particle":"","family":"Lampung","given":"Universitas","non-dropping-particle":"","parse-names":false,"suffix":""},{"dropping-particle":"","family":"Kardiovaskuler","given":"Bagian","non-dropping-particle":"","parse-names":false,"suffix":""},{"dropping-particle":"","family":"Kedokteran","given":"Fakultas","non-dropping-particle":"","parse-names":false,"suffix":""},{"dropping-particle":"","family":"Lampung","given":"Universitas","non-dropping-particle":"","parse-names":false,"suffix":""}],"id":"ITEM-1","issued":{"date-parts":[["2024"]]},"page":"1959-1962","title":"Penggunaan OAINS sebagai Faktor Risiko Dispepsia : Tinjauan Literatur NSAID Use as a Risk Factor for Dyspepsia : Literature Review","type":"article-journal","volume":"14"},"uris":["http://www.mendeley.com/documents/?uuid=6a567535-bef2-41ae-8dca-cfdf45f4358b"]}],"mendeley":{"formattedCitation":"(Wahidah et al., 2024)","plainTextFormattedCitation":"(Wahidah et al., 2024)","previouslyFormattedCitation":"(Wahidah et al., 2024)"},"properties":{"noteIndex":0},"schema":"https://github.com/citation-style-language/schema/raw/master/csl-citation.json"}</w:instrText>
      </w:r>
      <w:r>
        <w:rPr>
          <w:i w:val="0"/>
          <w:color w:val="000000" w:themeColor="text1"/>
        </w:rPr>
        <w:fldChar w:fldCharType="separate"/>
      </w:r>
      <w:r w:rsidRPr="007A5ECB">
        <w:rPr>
          <w:i w:val="0"/>
          <w:noProof/>
          <w:color w:val="000000" w:themeColor="text1"/>
        </w:rPr>
        <w:t xml:space="preserve">(Wahidah </w:t>
      </w:r>
      <w:r w:rsidRPr="007A5ECB">
        <w:rPr>
          <w:iCs/>
          <w:noProof/>
          <w:color w:val="000000" w:themeColor="text1"/>
        </w:rPr>
        <w:t>et al.,</w:t>
      </w:r>
      <w:r w:rsidRPr="007A5ECB">
        <w:rPr>
          <w:i w:val="0"/>
          <w:noProof/>
          <w:color w:val="000000" w:themeColor="text1"/>
        </w:rPr>
        <w:t xml:space="preserve"> 2024)</w:t>
      </w:r>
      <w:r>
        <w:rPr>
          <w:i w:val="0"/>
          <w:color w:val="000000" w:themeColor="text1"/>
        </w:rPr>
        <w:fldChar w:fldCharType="end"/>
      </w:r>
      <w:r>
        <w:rPr>
          <w:i w:val="0"/>
          <w:color w:val="000000" w:themeColor="text1"/>
        </w:rPr>
        <w:t>.</w:t>
      </w:r>
    </w:p>
    <w:p w14:paraId="5F5F0F1D" w14:textId="77777777" w:rsidR="007A5ECB" w:rsidRDefault="007A5ECB" w:rsidP="007A5ECB">
      <w:pPr>
        <w:pStyle w:val="Addresses"/>
        <w:spacing w:line="240" w:lineRule="auto"/>
        <w:jc w:val="both"/>
        <w:rPr>
          <w:i w:val="0"/>
          <w:color w:val="000000" w:themeColor="text1"/>
        </w:rPr>
      </w:pPr>
    </w:p>
    <w:p w14:paraId="6560EF40" w14:textId="27752545" w:rsidR="00D24FD8" w:rsidRDefault="00D24FD8" w:rsidP="00D24FD8">
      <w:pPr>
        <w:pStyle w:val="Heading1"/>
        <w:jc w:val="both"/>
      </w:pPr>
      <w:r>
        <w:rPr>
          <w:lang w:val="id-ID"/>
        </w:rPr>
        <w:t>KESIMPULA</w:t>
      </w:r>
      <w:r w:rsidR="007A5ECB">
        <w:rPr>
          <w:lang w:val="id-ID"/>
        </w:rPr>
        <w:t>N</w:t>
      </w:r>
    </w:p>
    <w:p w14:paraId="52C75D57" w14:textId="0FC6D801" w:rsidR="00D24FD8" w:rsidRPr="00B25774" w:rsidRDefault="00D24FD8" w:rsidP="00D24FD8">
      <w:pPr>
        <w:pStyle w:val="Addresses"/>
        <w:spacing w:line="240" w:lineRule="auto"/>
        <w:jc w:val="left"/>
        <w:rPr>
          <w:i w:val="0"/>
          <w:color w:val="FF0000"/>
        </w:rPr>
      </w:pPr>
    </w:p>
    <w:p w14:paraId="34E0D43B" w14:textId="77777777" w:rsidR="007A5ECB" w:rsidRDefault="007A5ECB" w:rsidP="00035D1F">
      <w:pPr>
        <w:pStyle w:val="Addresses"/>
        <w:spacing w:line="240" w:lineRule="auto"/>
        <w:ind w:firstLine="567"/>
        <w:jc w:val="both"/>
        <w:rPr>
          <w:rStyle w:val="hps"/>
          <w:i w:val="0"/>
          <w:lang w:val="id-ID"/>
        </w:rPr>
      </w:pPr>
      <w:r w:rsidRPr="007A5ECB">
        <w:rPr>
          <w:rStyle w:val="hps"/>
          <w:i w:val="0"/>
          <w:lang w:val="id-ID"/>
        </w:rPr>
        <w:t xml:space="preserve">Karakteristik pasien OA di RS X Kudus pada periode 2025 berdasarkan jenis kelamin paling banyak terjadi pada wanita dengan kategori usia lanjut. Profil penggunaan OAINS yang paling banyak diresepkan adalah Meloxicam dosis 15 mg. Keamanan penggunaan OAINS secara umum tergolong baik karena sebagian besar pasien tidak mengalami efek samping dari penggunaan OAINS. </w:t>
      </w:r>
    </w:p>
    <w:p w14:paraId="5C686316" w14:textId="31A30AE3" w:rsidR="00D24FD8" w:rsidRPr="00B25774" w:rsidRDefault="00D24FD8" w:rsidP="00D24FD8">
      <w:pPr>
        <w:pStyle w:val="Addresses"/>
        <w:spacing w:line="240" w:lineRule="auto"/>
        <w:jc w:val="left"/>
        <w:rPr>
          <w:i w:val="0"/>
          <w:color w:val="FF0000"/>
        </w:rPr>
      </w:pPr>
    </w:p>
    <w:p w14:paraId="5D400490" w14:textId="77777777" w:rsidR="00035D1F" w:rsidRDefault="00035D1F">
      <w:pPr>
        <w:widowControl/>
        <w:autoSpaceDE/>
        <w:autoSpaceDN/>
        <w:adjustRightInd/>
        <w:spacing w:after="200" w:line="276" w:lineRule="auto"/>
        <w:jc w:val="left"/>
        <w:textAlignment w:val="auto"/>
        <w:rPr>
          <w:b/>
          <w:kern w:val="28"/>
          <w:szCs w:val="24"/>
        </w:rPr>
      </w:pPr>
      <w:r>
        <w:br w:type="page"/>
      </w:r>
    </w:p>
    <w:p w14:paraId="62DF528B" w14:textId="7BBB5886" w:rsidR="00D24FD8" w:rsidRPr="000A771C" w:rsidRDefault="00D24FD8" w:rsidP="00D24FD8">
      <w:pPr>
        <w:pStyle w:val="Heading1"/>
        <w:jc w:val="both"/>
      </w:pPr>
      <w:r>
        <w:lastRenderedPageBreak/>
        <w:t xml:space="preserve">DAFTAR </w:t>
      </w:r>
      <w:r w:rsidR="00035D1F">
        <w:t>PUSTAKA</w:t>
      </w:r>
      <w:r>
        <w:t xml:space="preserve"> </w:t>
      </w:r>
    </w:p>
    <w:p w14:paraId="2C6E7F61" w14:textId="0C713BD7" w:rsidR="00D24FD8" w:rsidRPr="000F4BC1" w:rsidRDefault="00D24FD8" w:rsidP="00D24FD8">
      <w:pPr>
        <w:pStyle w:val="Addresses"/>
        <w:spacing w:line="240" w:lineRule="auto"/>
        <w:jc w:val="left"/>
        <w:rPr>
          <w:i w:val="0"/>
          <w:color w:val="FF0000"/>
        </w:rPr>
      </w:pPr>
    </w:p>
    <w:commentRangeStart w:id="15"/>
    <w:p w14:paraId="788236D1" w14:textId="68CA298E" w:rsidR="00D124D8" w:rsidRPr="00D124D8" w:rsidRDefault="00D124D8" w:rsidP="00D124D8">
      <w:pPr>
        <w:ind w:left="480" w:hanging="480"/>
        <w:rPr>
          <w:noProof/>
          <w:kern w:val="0"/>
        </w:rPr>
      </w:pPr>
      <w:r>
        <w:fldChar w:fldCharType="begin" w:fldLock="1"/>
      </w:r>
      <w:r>
        <w:instrText xml:space="preserve">ADDIN Mendeley Bibliography CSL_BIBLIOGRAPHY </w:instrText>
      </w:r>
      <w:r>
        <w:fldChar w:fldCharType="separate"/>
      </w:r>
      <w:r w:rsidRPr="00D124D8">
        <w:rPr>
          <w:noProof/>
          <w:kern w:val="0"/>
        </w:rPr>
        <w:t xml:space="preserve">Beaudart, C., Brabant, C., Alokail, M., Yves, J., &amp; Olivier, R. (2025). Current Evidence on Celecoxib Safety in the Management of Chronic Musculoskeletal Conditions : An Umbrella Review. </w:t>
      </w:r>
      <w:r w:rsidRPr="00D124D8">
        <w:rPr>
          <w:i/>
          <w:iCs/>
          <w:noProof/>
          <w:kern w:val="0"/>
        </w:rPr>
        <w:t>Drugs</w:t>
      </w:r>
      <w:r w:rsidRPr="00D124D8">
        <w:rPr>
          <w:noProof/>
          <w:kern w:val="0"/>
        </w:rPr>
        <w:t xml:space="preserve">, </w:t>
      </w:r>
      <w:r w:rsidRPr="00D124D8">
        <w:rPr>
          <w:i/>
          <w:iCs/>
          <w:noProof/>
          <w:kern w:val="0"/>
        </w:rPr>
        <w:t>85</w:t>
      </w:r>
      <w:r w:rsidRPr="00D124D8">
        <w:rPr>
          <w:noProof/>
          <w:kern w:val="0"/>
        </w:rPr>
        <w:t>(10), 1289–1306. https://doi.org/10.1007/s40265-025-02234-5</w:t>
      </w:r>
    </w:p>
    <w:p w14:paraId="367DFA9E" w14:textId="77777777" w:rsidR="00D124D8" w:rsidRPr="00D124D8" w:rsidRDefault="00D124D8" w:rsidP="00D124D8">
      <w:pPr>
        <w:ind w:left="480" w:hanging="480"/>
        <w:rPr>
          <w:noProof/>
          <w:kern w:val="0"/>
        </w:rPr>
      </w:pPr>
      <w:r w:rsidRPr="00D124D8">
        <w:rPr>
          <w:noProof/>
          <w:kern w:val="0"/>
        </w:rPr>
        <w:t xml:space="preserve">Dina, F. (2020). </w:t>
      </w:r>
      <w:r w:rsidRPr="00D124D8">
        <w:rPr>
          <w:i/>
          <w:iCs/>
          <w:noProof/>
          <w:kern w:val="0"/>
        </w:rPr>
        <w:t>Profil Peresepan Obat pada Pasien Osteoarthritis di Instalasi Farmasi Rawat Jalan RSUP Fatmawati Periode Agustus -Desember 2020</w:t>
      </w:r>
      <w:r w:rsidRPr="00D124D8">
        <w:rPr>
          <w:noProof/>
          <w:kern w:val="0"/>
        </w:rPr>
        <w:t>. https://repository.poltekkesjkt2.ac.id/index.php?p=fstream-pdf&amp;fid=6290&amp;bid=5867</w:t>
      </w:r>
    </w:p>
    <w:p w14:paraId="1A0461A2" w14:textId="77777777" w:rsidR="00D124D8" w:rsidRPr="00D124D8" w:rsidRDefault="00D124D8" w:rsidP="00D124D8">
      <w:pPr>
        <w:ind w:left="480" w:hanging="480"/>
        <w:rPr>
          <w:noProof/>
          <w:kern w:val="0"/>
        </w:rPr>
      </w:pPr>
      <w:r w:rsidRPr="00D124D8">
        <w:rPr>
          <w:noProof/>
          <w:kern w:val="0"/>
        </w:rPr>
        <w:t xml:space="preserve">Economou, A., Mallia, I., Fioravanti, A., Gentileschi, S., Nacci, F., Randone, S. B., Lepri, G., &amp; Guiducci, S. (2024). </w:t>
      </w:r>
      <w:r w:rsidRPr="00D124D8">
        <w:rPr>
          <w:i/>
          <w:iCs/>
          <w:noProof/>
          <w:kern w:val="0"/>
        </w:rPr>
        <w:t>The Role of Adipokines between Genders in the Pathogenesis of Osteoarthritis</w:t>
      </w:r>
      <w:r w:rsidRPr="00D124D8">
        <w:rPr>
          <w:noProof/>
          <w:kern w:val="0"/>
        </w:rPr>
        <w:t>. 1–25.</w:t>
      </w:r>
    </w:p>
    <w:p w14:paraId="35223C59" w14:textId="6481F508" w:rsidR="00D124D8" w:rsidRPr="00D124D8" w:rsidRDefault="00D124D8" w:rsidP="00D124D8">
      <w:pPr>
        <w:ind w:left="480" w:hanging="480"/>
        <w:rPr>
          <w:noProof/>
          <w:kern w:val="0"/>
        </w:rPr>
      </w:pPr>
      <w:r w:rsidRPr="00D124D8">
        <w:rPr>
          <w:noProof/>
          <w:kern w:val="0"/>
        </w:rPr>
        <w:t xml:space="preserve">Fatoni, I. H. R. (2024). </w:t>
      </w:r>
      <w:r w:rsidRPr="00D124D8">
        <w:rPr>
          <w:i/>
          <w:iCs/>
          <w:noProof/>
          <w:kern w:val="0"/>
        </w:rPr>
        <w:t>Gambaran Penggunaan Obat Antiinflamasi Non Steroid Pada Pasien Penderita Osteoarthritis di Instalasi Rawat Jalan RSUD Kajen Periode Januari – Oktober 2024 “ Gambaran Penggunaan Obat Antiinfla</w:t>
      </w:r>
      <w:r w:rsidR="004851BA">
        <w:rPr>
          <w:i/>
          <w:iCs/>
          <w:noProof/>
          <w:kern w:val="0"/>
        </w:rPr>
        <w:t>masi Non Steroid Pada Pasien Pe</w:t>
      </w:r>
      <w:r w:rsidRPr="00D124D8">
        <w:rPr>
          <w:i/>
          <w:iCs/>
          <w:noProof/>
          <w:kern w:val="0"/>
        </w:rPr>
        <w:t>nderita Osteoarthritis di Instal</w:t>
      </w:r>
      <w:r w:rsidRPr="00D124D8">
        <w:rPr>
          <w:noProof/>
          <w:kern w:val="0"/>
        </w:rPr>
        <w:t>. https://doi.org/https://doi.org/10.59841/an-najat.v3i1.2239</w:t>
      </w:r>
    </w:p>
    <w:p w14:paraId="7D71FA85" w14:textId="77777777" w:rsidR="00D124D8" w:rsidRPr="00D124D8" w:rsidRDefault="00D124D8" w:rsidP="00D124D8">
      <w:pPr>
        <w:ind w:left="480" w:hanging="480"/>
        <w:rPr>
          <w:noProof/>
          <w:kern w:val="0"/>
        </w:rPr>
      </w:pPr>
      <w:r w:rsidRPr="00D124D8">
        <w:rPr>
          <w:noProof/>
          <w:kern w:val="0"/>
        </w:rPr>
        <w:t xml:space="preserve">Febriantara, M. K., Pestalozi, G., </w:t>
      </w:r>
      <w:r w:rsidRPr="00D124D8">
        <w:rPr>
          <w:noProof/>
          <w:kern w:val="0"/>
        </w:rPr>
        <w:t xml:space="preserve">Ismunandar, H., Kedokteran, F., Lampung, U., Klinik, B. P., Kedokteran, F., Lampung, U., Bedah, B., Kedokteran, F., &amp; Lampung, U. (2020). </w:t>
      </w:r>
      <w:r w:rsidRPr="00D124D8">
        <w:rPr>
          <w:i/>
          <w:iCs/>
          <w:noProof/>
          <w:kern w:val="0"/>
        </w:rPr>
        <w:t>Peran Suplementasi Glukosamin Dan Kondroitin dalam Penanganan Osteoartritis The Role of Glucosamine and Chondroitin Supplementation in the Management of Osteoarthritis</w:t>
      </w:r>
      <w:r w:rsidRPr="00D124D8">
        <w:rPr>
          <w:noProof/>
          <w:kern w:val="0"/>
        </w:rPr>
        <w:t xml:space="preserve">. </w:t>
      </w:r>
      <w:r w:rsidRPr="00D124D8">
        <w:rPr>
          <w:i/>
          <w:iCs/>
          <w:noProof/>
          <w:kern w:val="0"/>
        </w:rPr>
        <w:t>16</w:t>
      </w:r>
      <w:r w:rsidRPr="00D124D8">
        <w:rPr>
          <w:noProof/>
          <w:kern w:val="0"/>
        </w:rPr>
        <w:t>, 120–125.</w:t>
      </w:r>
    </w:p>
    <w:p w14:paraId="18A4B881" w14:textId="77777777" w:rsidR="00D124D8" w:rsidRPr="00D124D8" w:rsidRDefault="00D124D8" w:rsidP="00D124D8">
      <w:pPr>
        <w:ind w:left="480" w:hanging="480"/>
        <w:rPr>
          <w:noProof/>
          <w:kern w:val="0"/>
        </w:rPr>
      </w:pPr>
      <w:r w:rsidRPr="00D124D8">
        <w:rPr>
          <w:noProof/>
          <w:kern w:val="0"/>
        </w:rPr>
        <w:t xml:space="preserve">Febrina, S., &amp; Miro, S. (2023). </w:t>
      </w:r>
      <w:r w:rsidRPr="00D124D8">
        <w:rPr>
          <w:i/>
          <w:iCs/>
          <w:noProof/>
          <w:kern w:val="0"/>
        </w:rPr>
        <w:t>Hubungan Lama Penggunaan Obat Antiinflamasi Nonsteroid dengan Kejadian Dispepsia pada Pasien Osteoartritis di Puskesmas Andalas Kota Padang</w:t>
      </w:r>
      <w:r w:rsidRPr="00D124D8">
        <w:rPr>
          <w:noProof/>
          <w:kern w:val="0"/>
        </w:rPr>
        <w:t>. 1–8.</w:t>
      </w:r>
    </w:p>
    <w:p w14:paraId="0246EDD5" w14:textId="77777777" w:rsidR="00D124D8" w:rsidRPr="00D124D8" w:rsidRDefault="00D124D8" w:rsidP="00D124D8">
      <w:pPr>
        <w:ind w:left="480" w:hanging="480"/>
        <w:rPr>
          <w:noProof/>
          <w:kern w:val="0"/>
        </w:rPr>
      </w:pPr>
      <w:r w:rsidRPr="00D124D8">
        <w:rPr>
          <w:noProof/>
          <w:kern w:val="0"/>
        </w:rPr>
        <w:t xml:space="preserve">Fransisco, M. M., &amp; Widjaya, I. F. (2024). </w:t>
      </w:r>
      <w:r w:rsidRPr="00D124D8">
        <w:rPr>
          <w:i/>
          <w:iCs/>
          <w:noProof/>
          <w:kern w:val="0"/>
        </w:rPr>
        <w:t>Hubungan hipertensi dengan osteoarthritis genu ( radiografi konvensional ) di RS Royal Taruma Jakarta Barat</w:t>
      </w:r>
      <w:r w:rsidRPr="00D124D8">
        <w:rPr>
          <w:noProof/>
          <w:kern w:val="0"/>
        </w:rPr>
        <w:t xml:space="preserve">. </w:t>
      </w:r>
      <w:r w:rsidRPr="00D124D8">
        <w:rPr>
          <w:i/>
          <w:iCs/>
          <w:noProof/>
          <w:kern w:val="0"/>
        </w:rPr>
        <w:t>6</w:t>
      </w:r>
      <w:r w:rsidRPr="00D124D8">
        <w:rPr>
          <w:noProof/>
          <w:kern w:val="0"/>
        </w:rPr>
        <w:t>(1), 87–92.</w:t>
      </w:r>
    </w:p>
    <w:p w14:paraId="761EA3FF" w14:textId="77777777" w:rsidR="00D124D8" w:rsidRPr="00D124D8" w:rsidRDefault="00D124D8" w:rsidP="00D124D8">
      <w:pPr>
        <w:ind w:left="480" w:hanging="480"/>
        <w:rPr>
          <w:noProof/>
          <w:kern w:val="0"/>
        </w:rPr>
      </w:pPr>
      <w:r w:rsidRPr="00D124D8">
        <w:rPr>
          <w:noProof/>
          <w:kern w:val="0"/>
        </w:rPr>
        <w:t xml:space="preserve">Hamzah. (2020). Laporan Riskesdas 2018 Nasional.pdf. In </w:t>
      </w:r>
      <w:r w:rsidRPr="00D124D8">
        <w:rPr>
          <w:i/>
          <w:iCs/>
          <w:noProof/>
          <w:kern w:val="0"/>
        </w:rPr>
        <w:t>Lembaga Penerbit Balitbangkes</w:t>
      </w:r>
      <w:r w:rsidRPr="00D124D8">
        <w:rPr>
          <w:noProof/>
          <w:kern w:val="0"/>
        </w:rPr>
        <w:t xml:space="preserve"> (pp. 70–75). https://repository.badankebijakan.kemkes.go.id/id/eprint/3514/1/Laporan Riskesdas 2018 Nasional.pdf</w:t>
      </w:r>
    </w:p>
    <w:p w14:paraId="10866082" w14:textId="77777777" w:rsidR="00D124D8" w:rsidRPr="00D124D8" w:rsidRDefault="00D124D8" w:rsidP="00D124D8">
      <w:pPr>
        <w:ind w:left="480" w:hanging="480"/>
        <w:rPr>
          <w:noProof/>
          <w:kern w:val="0"/>
        </w:rPr>
      </w:pPr>
      <w:r w:rsidRPr="00D124D8">
        <w:rPr>
          <w:noProof/>
          <w:kern w:val="0"/>
        </w:rPr>
        <w:t xml:space="preserve">Magni, A., Agostoni, P., Bonezzi, C., Massazza, G., Menè, P., Savarino, V., &amp; Fornasari, D. (2021). Management of Osteoarthritis: Expert Opinion on NSAIDs. </w:t>
      </w:r>
      <w:r w:rsidRPr="00D124D8">
        <w:rPr>
          <w:i/>
          <w:iCs/>
          <w:noProof/>
          <w:kern w:val="0"/>
        </w:rPr>
        <w:t>Pain and Therapy</w:t>
      </w:r>
      <w:r w:rsidRPr="00D124D8">
        <w:rPr>
          <w:noProof/>
          <w:kern w:val="0"/>
        </w:rPr>
        <w:t xml:space="preserve">, </w:t>
      </w:r>
      <w:r w:rsidRPr="00D124D8">
        <w:rPr>
          <w:i/>
          <w:iCs/>
          <w:noProof/>
          <w:kern w:val="0"/>
        </w:rPr>
        <w:t>10</w:t>
      </w:r>
      <w:r w:rsidRPr="00D124D8">
        <w:rPr>
          <w:noProof/>
          <w:kern w:val="0"/>
        </w:rPr>
        <w:t>(2), 783–808. https://doi.org/10.1007/s40122-021-00260-1</w:t>
      </w:r>
    </w:p>
    <w:p w14:paraId="0E3110CE" w14:textId="77777777" w:rsidR="00D124D8" w:rsidRPr="00D124D8" w:rsidRDefault="00D124D8" w:rsidP="00D124D8">
      <w:pPr>
        <w:ind w:left="480" w:hanging="480"/>
        <w:rPr>
          <w:noProof/>
          <w:kern w:val="0"/>
        </w:rPr>
      </w:pPr>
      <w:r w:rsidRPr="00D124D8">
        <w:rPr>
          <w:noProof/>
          <w:kern w:val="0"/>
        </w:rPr>
        <w:lastRenderedPageBreak/>
        <w:t xml:space="preserve">Martel-Pelletier, J. (2004). Pathophysiology of osteoarthritis. </w:t>
      </w:r>
      <w:r w:rsidRPr="00D124D8">
        <w:rPr>
          <w:i/>
          <w:iCs/>
          <w:noProof/>
          <w:kern w:val="0"/>
        </w:rPr>
        <w:t>Osteoarthritis and Cartilage</w:t>
      </w:r>
      <w:r w:rsidRPr="00D124D8">
        <w:rPr>
          <w:noProof/>
          <w:kern w:val="0"/>
        </w:rPr>
        <w:t xml:space="preserve">, </w:t>
      </w:r>
      <w:r w:rsidRPr="00D124D8">
        <w:rPr>
          <w:i/>
          <w:iCs/>
          <w:noProof/>
          <w:kern w:val="0"/>
        </w:rPr>
        <w:t>12</w:t>
      </w:r>
      <w:r w:rsidRPr="00D124D8">
        <w:rPr>
          <w:noProof/>
          <w:kern w:val="0"/>
        </w:rPr>
        <w:t>(SUPLL.), 31–33. https://doi.org/10.1016/j.joca.2003.10.002</w:t>
      </w:r>
    </w:p>
    <w:p w14:paraId="0B5E5D72" w14:textId="77777777" w:rsidR="00D124D8" w:rsidRPr="00D124D8" w:rsidRDefault="00D124D8" w:rsidP="00D124D8">
      <w:pPr>
        <w:ind w:left="480" w:hanging="480"/>
        <w:rPr>
          <w:noProof/>
          <w:kern w:val="0"/>
        </w:rPr>
      </w:pPr>
      <w:r w:rsidRPr="00D124D8">
        <w:rPr>
          <w:noProof/>
          <w:kern w:val="0"/>
        </w:rPr>
        <w:t xml:space="preserve">Pisters, M. F., Veenhof, C., Dijk, G. M. Van, Heymans, M. W., Twisk, J. W. R., &amp; Dekker, J. (2012). The course of limitations in activities over 5 years in patients with knee and hip osteoarthritis with moderate functional limitations : risk factors for future functional decline. </w:t>
      </w:r>
      <w:r w:rsidRPr="00D124D8">
        <w:rPr>
          <w:i/>
          <w:iCs/>
          <w:noProof/>
          <w:kern w:val="0"/>
        </w:rPr>
        <w:t>Osteoarthritis and Cartilage</w:t>
      </w:r>
      <w:r w:rsidRPr="00D124D8">
        <w:rPr>
          <w:noProof/>
          <w:kern w:val="0"/>
        </w:rPr>
        <w:t xml:space="preserve">, </w:t>
      </w:r>
      <w:r w:rsidRPr="00D124D8">
        <w:rPr>
          <w:i/>
          <w:iCs/>
          <w:noProof/>
          <w:kern w:val="0"/>
        </w:rPr>
        <w:t>20</w:t>
      </w:r>
      <w:r w:rsidRPr="00D124D8">
        <w:rPr>
          <w:noProof/>
          <w:kern w:val="0"/>
        </w:rPr>
        <w:t>(6), 503–510. https://doi.org/10.1016/j.joca.2012.02.002</w:t>
      </w:r>
    </w:p>
    <w:p w14:paraId="3E339124" w14:textId="77777777" w:rsidR="00D124D8" w:rsidRPr="00D124D8" w:rsidRDefault="00D124D8" w:rsidP="00D124D8">
      <w:pPr>
        <w:ind w:left="480" w:hanging="480"/>
        <w:rPr>
          <w:noProof/>
          <w:kern w:val="0"/>
        </w:rPr>
      </w:pPr>
      <w:r w:rsidRPr="00D124D8">
        <w:rPr>
          <w:noProof/>
          <w:kern w:val="0"/>
        </w:rPr>
        <w:t xml:space="preserve">Putu, N., Widiani, A., &amp; Kesehatan, F. (2024). </w:t>
      </w:r>
      <w:r w:rsidRPr="00D124D8">
        <w:rPr>
          <w:i/>
          <w:iCs/>
          <w:noProof/>
          <w:kern w:val="0"/>
        </w:rPr>
        <w:t>Evaluasi pemberian terapi nsaid pada pasien osteoarthritis di poli rawat jalan rs wisma prashanti</w:t>
      </w:r>
      <w:r w:rsidRPr="00D124D8">
        <w:rPr>
          <w:noProof/>
          <w:kern w:val="0"/>
        </w:rPr>
        <w:t xml:space="preserve">. </w:t>
      </w:r>
      <w:r w:rsidRPr="00D124D8">
        <w:rPr>
          <w:i/>
          <w:iCs/>
          <w:noProof/>
          <w:kern w:val="0"/>
        </w:rPr>
        <w:t>3</w:t>
      </w:r>
      <w:r w:rsidRPr="00D124D8">
        <w:rPr>
          <w:noProof/>
          <w:kern w:val="0"/>
        </w:rPr>
        <w:t>(2), 9–16.</w:t>
      </w:r>
    </w:p>
    <w:p w14:paraId="5B53EACB" w14:textId="77777777" w:rsidR="00D124D8" w:rsidRPr="00D124D8" w:rsidRDefault="00D124D8" w:rsidP="00D124D8">
      <w:pPr>
        <w:ind w:left="480" w:hanging="480"/>
        <w:rPr>
          <w:noProof/>
          <w:kern w:val="0"/>
        </w:rPr>
      </w:pPr>
      <w:r w:rsidRPr="00D124D8">
        <w:rPr>
          <w:noProof/>
          <w:kern w:val="0"/>
        </w:rPr>
        <w:t xml:space="preserve">Radiah, N., Arista Pratama, I., Pahmi, K., &amp; Korespondensi, P. (2023). Jalan Merdeka Raya Karang Pule Telp. (0370) 6161208 Mataram, Indonesia 3 Program Studi Pendidikan Dokter, Fakultas Kedokteran. </w:t>
      </w:r>
      <w:r w:rsidRPr="00D124D8">
        <w:rPr>
          <w:i/>
          <w:iCs/>
          <w:noProof/>
          <w:kern w:val="0"/>
        </w:rPr>
        <w:t>Journal Syifa Sciences and Clinical Research (JSSCR)</w:t>
      </w:r>
      <w:r w:rsidRPr="00D124D8">
        <w:rPr>
          <w:noProof/>
          <w:kern w:val="0"/>
        </w:rPr>
        <w:t xml:space="preserve">, </w:t>
      </w:r>
      <w:r w:rsidRPr="00D124D8">
        <w:rPr>
          <w:i/>
          <w:iCs/>
          <w:noProof/>
          <w:kern w:val="0"/>
        </w:rPr>
        <w:t>5</w:t>
      </w:r>
      <w:r w:rsidRPr="00D124D8">
        <w:rPr>
          <w:noProof/>
          <w:kern w:val="0"/>
        </w:rPr>
        <w:t>(3), 423–428.</w:t>
      </w:r>
    </w:p>
    <w:p w14:paraId="3D6349FC" w14:textId="77777777" w:rsidR="00D124D8" w:rsidRPr="00D124D8" w:rsidRDefault="00D124D8" w:rsidP="00D124D8">
      <w:pPr>
        <w:ind w:left="480" w:hanging="480"/>
        <w:rPr>
          <w:noProof/>
          <w:kern w:val="0"/>
        </w:rPr>
      </w:pPr>
      <w:r w:rsidRPr="00D124D8">
        <w:rPr>
          <w:noProof/>
          <w:kern w:val="0"/>
        </w:rPr>
        <w:t xml:space="preserve">Relevant, H. O. W., This, I. S., My, T. O., Can, W., In, I. D. O., &amp; Practice, M. Y. (2017). </w:t>
      </w:r>
      <w:r w:rsidRPr="00D124D8">
        <w:rPr>
          <w:i/>
          <w:iCs/>
          <w:noProof/>
          <w:kern w:val="0"/>
        </w:rPr>
        <w:t>Outpatient management of knee osteoarthritis HOW RELEVANT IS THIS TO MY</w:t>
      </w:r>
      <w:r w:rsidRPr="00D124D8">
        <w:rPr>
          <w:noProof/>
          <w:kern w:val="0"/>
        </w:rPr>
        <w:t xml:space="preserve">. </w:t>
      </w:r>
      <w:r w:rsidRPr="00D124D8">
        <w:rPr>
          <w:i/>
          <w:iCs/>
          <w:noProof/>
          <w:kern w:val="0"/>
        </w:rPr>
        <w:t>58</w:t>
      </w:r>
      <w:r w:rsidRPr="00D124D8">
        <w:rPr>
          <w:noProof/>
          <w:kern w:val="0"/>
        </w:rPr>
        <w:t>(10), 580–584. https://doi.org/10.11622/smedj.2017097</w:t>
      </w:r>
    </w:p>
    <w:p w14:paraId="251A1307" w14:textId="77777777" w:rsidR="00D124D8" w:rsidRPr="00D124D8" w:rsidRDefault="00D124D8" w:rsidP="00D124D8">
      <w:pPr>
        <w:ind w:left="480" w:hanging="480"/>
        <w:rPr>
          <w:noProof/>
          <w:kern w:val="0"/>
        </w:rPr>
      </w:pPr>
      <w:r w:rsidRPr="00D124D8">
        <w:rPr>
          <w:noProof/>
          <w:kern w:val="0"/>
        </w:rPr>
        <w:t xml:space="preserve">Ridwan, B. A., Fety, Y., &amp; Nurlinda, N. (2021). Evaluasi Rasionalitas Penggunaan Obat Anti Inflamasi Non Steroid (OAINS). </w:t>
      </w:r>
      <w:r w:rsidRPr="00D124D8">
        <w:rPr>
          <w:i/>
          <w:iCs/>
          <w:noProof/>
          <w:kern w:val="0"/>
        </w:rPr>
        <w:t>Jurnal Mandala Pharmacon Indonesia</w:t>
      </w:r>
      <w:r w:rsidRPr="00D124D8">
        <w:rPr>
          <w:noProof/>
          <w:kern w:val="0"/>
        </w:rPr>
        <w:t xml:space="preserve">, </w:t>
      </w:r>
      <w:r w:rsidRPr="00D124D8">
        <w:rPr>
          <w:i/>
          <w:iCs/>
          <w:noProof/>
          <w:kern w:val="0"/>
        </w:rPr>
        <w:t>7</w:t>
      </w:r>
      <w:r w:rsidRPr="00D124D8">
        <w:rPr>
          <w:noProof/>
          <w:kern w:val="0"/>
        </w:rPr>
        <w:t>(1), 1–8.</w:t>
      </w:r>
    </w:p>
    <w:p w14:paraId="7458BC25" w14:textId="77777777" w:rsidR="00D124D8" w:rsidRPr="00D124D8" w:rsidRDefault="00D124D8" w:rsidP="00D124D8">
      <w:pPr>
        <w:ind w:left="480" w:hanging="480"/>
        <w:rPr>
          <w:noProof/>
          <w:kern w:val="0"/>
        </w:rPr>
      </w:pPr>
      <w:r w:rsidRPr="00D124D8">
        <w:rPr>
          <w:noProof/>
          <w:kern w:val="0"/>
        </w:rPr>
        <w:t xml:space="preserve">Rosnarita, I. A., Khudzaifi, M., &amp; Priswa, N. (2025). </w:t>
      </w:r>
      <w:r w:rsidRPr="00D124D8">
        <w:rPr>
          <w:i/>
          <w:iCs/>
          <w:noProof/>
          <w:kern w:val="0"/>
        </w:rPr>
        <w:t>Evaluasi Keamanan Pengobatan NSAID Oral terhadap Tekanan Darah pada Pasien Osteoartritis : Studi Preventif terhadap</w:t>
      </w:r>
      <w:r w:rsidRPr="00D124D8">
        <w:rPr>
          <w:noProof/>
          <w:kern w:val="0"/>
        </w:rPr>
        <w:t xml:space="preserve">. </w:t>
      </w:r>
      <w:r w:rsidRPr="00D124D8">
        <w:rPr>
          <w:i/>
          <w:iCs/>
          <w:noProof/>
          <w:kern w:val="0"/>
        </w:rPr>
        <w:t>20</w:t>
      </w:r>
      <w:r w:rsidRPr="00D124D8">
        <w:rPr>
          <w:noProof/>
          <w:kern w:val="0"/>
        </w:rPr>
        <w:t>(1), 30–36.</w:t>
      </w:r>
    </w:p>
    <w:p w14:paraId="0B36D806" w14:textId="77777777" w:rsidR="00D124D8" w:rsidRPr="00D124D8" w:rsidRDefault="00D124D8" w:rsidP="00D124D8">
      <w:pPr>
        <w:ind w:left="480" w:hanging="480"/>
        <w:rPr>
          <w:noProof/>
          <w:kern w:val="0"/>
        </w:rPr>
      </w:pPr>
      <w:r w:rsidRPr="00D124D8">
        <w:rPr>
          <w:noProof/>
          <w:kern w:val="0"/>
        </w:rPr>
        <w:t xml:space="preserve">Salis, Z., &amp; Sainsbury, A. (2024). Association of long ‑ term use of non ‑ steroidal anti ‑ inflammatory drugs with knee osteoarthritis : a prospective multi ‑ cohort study over 4 ‑ to ‑ 5 years. </w:t>
      </w:r>
      <w:r w:rsidRPr="00D124D8">
        <w:rPr>
          <w:i/>
          <w:iCs/>
          <w:noProof/>
          <w:kern w:val="0"/>
        </w:rPr>
        <w:t>Scientific Reports</w:t>
      </w:r>
      <w:r w:rsidRPr="00D124D8">
        <w:rPr>
          <w:noProof/>
          <w:kern w:val="0"/>
        </w:rPr>
        <w:t>, 1–12. https://doi.org/10.1038/s41598-024-56665-3</w:t>
      </w:r>
    </w:p>
    <w:p w14:paraId="520A05F7" w14:textId="77777777" w:rsidR="00D124D8" w:rsidRPr="00D124D8" w:rsidRDefault="00D124D8" w:rsidP="00D124D8">
      <w:pPr>
        <w:ind w:left="480" w:hanging="480"/>
        <w:rPr>
          <w:noProof/>
          <w:kern w:val="0"/>
        </w:rPr>
      </w:pPr>
      <w:r w:rsidRPr="00D124D8">
        <w:rPr>
          <w:noProof/>
          <w:kern w:val="0"/>
        </w:rPr>
        <w:t xml:space="preserve">Suryatman, T. H., Hermawan, O., Pengajar, S., Studi, P., Industri, T., Teknik, F., &amp; Tangerang, U. M. (2021). </w:t>
      </w:r>
      <w:r w:rsidRPr="00D124D8">
        <w:rPr>
          <w:i/>
          <w:iCs/>
          <w:noProof/>
          <w:kern w:val="0"/>
        </w:rPr>
        <w:t>Perbaikan Intensitas Cahaya Pengguna Komputer Dengan Pendekatan Ergonomi Di Pt. Ujt Indonesia</w:t>
      </w:r>
      <w:r w:rsidRPr="00D124D8">
        <w:rPr>
          <w:noProof/>
          <w:kern w:val="0"/>
        </w:rPr>
        <w:t xml:space="preserve">. </w:t>
      </w:r>
      <w:r w:rsidRPr="00D124D8">
        <w:rPr>
          <w:i/>
          <w:iCs/>
          <w:noProof/>
          <w:kern w:val="0"/>
        </w:rPr>
        <w:t>10</w:t>
      </w:r>
      <w:r w:rsidRPr="00D124D8">
        <w:rPr>
          <w:noProof/>
          <w:kern w:val="0"/>
        </w:rPr>
        <w:t>(1). https://jurnal.umt.ac.id/index.php/jt/article/viewFile/4028/2282?utm_source=chatgpt.com</w:t>
      </w:r>
    </w:p>
    <w:p w14:paraId="6593BFE0" w14:textId="77777777" w:rsidR="00D124D8" w:rsidRPr="00D124D8" w:rsidRDefault="00D124D8" w:rsidP="00D124D8">
      <w:pPr>
        <w:ind w:left="480" w:hanging="480"/>
        <w:rPr>
          <w:noProof/>
          <w:kern w:val="0"/>
        </w:rPr>
      </w:pPr>
      <w:r w:rsidRPr="00D124D8">
        <w:rPr>
          <w:noProof/>
          <w:kern w:val="0"/>
        </w:rPr>
        <w:t xml:space="preserve">Wahidah, P. K., Wulan, D., Rengganis, S., Iyos, R. N., Studi, P., Dokter, P., Kedokteran, F., Lampung, U., Masyarakat, B. K., Kedokteran, F., Lampung, U., Kardiovaskuler, B., Kedokteran, F., &amp; Lampung, U. (2024). </w:t>
      </w:r>
      <w:r w:rsidRPr="00D124D8">
        <w:rPr>
          <w:i/>
          <w:iCs/>
          <w:noProof/>
          <w:kern w:val="0"/>
        </w:rPr>
        <w:lastRenderedPageBreak/>
        <w:t>Penggunaan OAINS sebagai Faktor Risiko Dispepsia : Tinjauan Literatur NSAID Use as a Risk Factor for Dyspepsia : Literature Review</w:t>
      </w:r>
      <w:r w:rsidRPr="00D124D8">
        <w:rPr>
          <w:noProof/>
          <w:kern w:val="0"/>
        </w:rPr>
        <w:t xml:space="preserve">. </w:t>
      </w:r>
      <w:r w:rsidRPr="00D124D8">
        <w:rPr>
          <w:i/>
          <w:iCs/>
          <w:noProof/>
          <w:kern w:val="0"/>
        </w:rPr>
        <w:t>14</w:t>
      </w:r>
      <w:r w:rsidRPr="00D124D8">
        <w:rPr>
          <w:noProof/>
          <w:kern w:val="0"/>
        </w:rPr>
        <w:t>, 1959–1962.</w:t>
      </w:r>
    </w:p>
    <w:p w14:paraId="7034EAD6" w14:textId="77777777" w:rsidR="00D124D8" w:rsidRPr="00D124D8" w:rsidRDefault="00D124D8" w:rsidP="00D124D8">
      <w:pPr>
        <w:ind w:left="480" w:hanging="480"/>
        <w:rPr>
          <w:noProof/>
        </w:rPr>
      </w:pPr>
      <w:r w:rsidRPr="00D124D8">
        <w:rPr>
          <w:noProof/>
          <w:kern w:val="0"/>
        </w:rPr>
        <w:t xml:space="preserve">Zaki, A. (2021). </w:t>
      </w:r>
      <w:r w:rsidRPr="00D124D8">
        <w:rPr>
          <w:i/>
          <w:iCs/>
          <w:noProof/>
          <w:kern w:val="0"/>
        </w:rPr>
        <w:t>Buku Saku Ostearthritis Lutut</w:t>
      </w:r>
      <w:r w:rsidRPr="00D124D8">
        <w:rPr>
          <w:noProof/>
          <w:kern w:val="0"/>
        </w:rPr>
        <w:t>. https://juke.kedokteran.unila.ac.id/index.php/majority/article/download/572/576</w:t>
      </w:r>
    </w:p>
    <w:p w14:paraId="0DBE3B99" w14:textId="3F84E822" w:rsidR="009A691F" w:rsidRDefault="00D124D8" w:rsidP="00D24FD8">
      <w:r>
        <w:fldChar w:fldCharType="end"/>
      </w:r>
      <w:commentRangeEnd w:id="15"/>
      <w:r w:rsidR="004851BA">
        <w:rPr>
          <w:rStyle w:val="CommentReference"/>
        </w:rPr>
        <w:commentReference w:id="15"/>
      </w:r>
    </w:p>
    <w:p w14:paraId="560115E7" w14:textId="77777777" w:rsidR="009A691F" w:rsidRDefault="009A691F" w:rsidP="00D24FD8"/>
    <w:p w14:paraId="02B2170A" w14:textId="77777777" w:rsidR="009A691F" w:rsidRDefault="009A691F" w:rsidP="00D24FD8"/>
    <w:p w14:paraId="052A7F20" w14:textId="77777777" w:rsidR="009A691F" w:rsidRDefault="009A691F" w:rsidP="00D24FD8"/>
    <w:p w14:paraId="4A5BB3B6" w14:textId="77777777" w:rsidR="009A691F" w:rsidRDefault="009A691F" w:rsidP="00D24FD8"/>
    <w:p w14:paraId="3B0A29B8" w14:textId="77777777" w:rsidR="009A691F" w:rsidRDefault="009A691F" w:rsidP="00D24FD8"/>
    <w:p w14:paraId="0FEF55E2" w14:textId="77777777" w:rsidR="009A691F" w:rsidRDefault="009A691F" w:rsidP="00D24FD8"/>
    <w:p w14:paraId="6BBE7100" w14:textId="77777777" w:rsidR="009A691F" w:rsidRDefault="009A691F" w:rsidP="00D24FD8"/>
    <w:p w14:paraId="04020C28" w14:textId="77777777" w:rsidR="003217E8" w:rsidRDefault="003217E8" w:rsidP="00D24FD8"/>
    <w:p w14:paraId="5D991772" w14:textId="77777777" w:rsidR="003217E8" w:rsidRDefault="003217E8" w:rsidP="00D24FD8"/>
    <w:p w14:paraId="5525641A" w14:textId="77777777" w:rsidR="003217E8" w:rsidRDefault="003217E8" w:rsidP="00D24FD8"/>
    <w:p w14:paraId="167E24AC" w14:textId="77777777" w:rsidR="003217E8" w:rsidRDefault="003217E8" w:rsidP="00D24FD8"/>
    <w:p w14:paraId="00518B31" w14:textId="77777777" w:rsidR="009A691F" w:rsidRDefault="009A691F" w:rsidP="00D24FD8"/>
    <w:p w14:paraId="53558CD3" w14:textId="77777777" w:rsidR="009A691F" w:rsidRDefault="009A691F" w:rsidP="00D24FD8"/>
    <w:p w14:paraId="14085312" w14:textId="77777777" w:rsidR="009A691F" w:rsidRDefault="009A691F" w:rsidP="00D24FD8"/>
    <w:p w14:paraId="1E67A84B" w14:textId="77777777" w:rsidR="00D24FD8" w:rsidRPr="009A691F" w:rsidRDefault="00D24FD8" w:rsidP="009A691F">
      <w:pPr>
        <w:pStyle w:val="Heading1"/>
        <w:jc w:val="both"/>
      </w:pPr>
    </w:p>
    <w:p w14:paraId="211D8AFB" w14:textId="77777777" w:rsidR="003D41E9" w:rsidRDefault="003D41E9">
      <w:pPr>
        <w:widowControl/>
        <w:autoSpaceDE/>
        <w:autoSpaceDN/>
        <w:adjustRightInd/>
        <w:spacing w:after="200" w:line="276" w:lineRule="auto"/>
        <w:jc w:val="left"/>
        <w:textAlignment w:val="auto"/>
        <w:rPr>
          <w:b/>
          <w:kern w:val="28"/>
          <w:szCs w:val="24"/>
          <w:lang w:val="id-ID"/>
        </w:rPr>
      </w:pPr>
      <w:r>
        <w:rPr>
          <w:lang w:val="id-ID"/>
        </w:rPr>
        <w:br w:type="page"/>
      </w:r>
    </w:p>
    <w:p w14:paraId="09AFF50E" w14:textId="1C20605D" w:rsidR="00D24FD8" w:rsidRPr="006F246A" w:rsidRDefault="00D24FD8" w:rsidP="00D24FD8">
      <w:pPr>
        <w:pStyle w:val="Heading1"/>
        <w:rPr>
          <w:lang w:val="id-ID"/>
        </w:rPr>
      </w:pPr>
      <w:r>
        <w:rPr>
          <w:lang w:val="id-ID"/>
        </w:rPr>
        <w:lastRenderedPageBreak/>
        <w:t>LAMPIRAN GAMBAR</w:t>
      </w:r>
    </w:p>
    <w:p w14:paraId="3E58C937" w14:textId="77777777" w:rsidR="00D24FD8" w:rsidRDefault="00D24FD8" w:rsidP="00D24FD8"/>
    <w:p w14:paraId="6F2C267C" w14:textId="77777777" w:rsidR="00D24FD8" w:rsidRPr="007A2781" w:rsidRDefault="00D24FD8" w:rsidP="00D24FD8">
      <w:pPr>
        <w:pStyle w:val="Body"/>
        <w:spacing w:line="240" w:lineRule="auto"/>
        <w:ind w:firstLine="0"/>
        <w:rPr>
          <w:lang w:val="id-ID"/>
        </w:rPr>
      </w:pPr>
      <w:r w:rsidRPr="007A2781">
        <w:t>Contoh gambar:</w:t>
      </w:r>
    </w:p>
    <w:p w14:paraId="0BCD4548" w14:textId="60A9850F" w:rsidR="00D24FD8" w:rsidRDefault="00D124D8" w:rsidP="00D24FD8">
      <w:pPr>
        <w:jc w:val="center"/>
        <w:rPr>
          <w:color w:val="FF0000"/>
          <w:lang w:val="id-ID"/>
        </w:rPr>
      </w:pPr>
      <w:r>
        <w:rPr>
          <w:noProof/>
          <w:lang w:val="en-ID" w:eastAsia="en-ID"/>
        </w:rPr>
        <w:drawing>
          <wp:inline distT="0" distB="0" distL="0" distR="0" wp14:anchorId="62627C92" wp14:editId="6DD51A1B">
            <wp:extent cx="2683304" cy="3745064"/>
            <wp:effectExtent l="0" t="0" r="3175" b="8255"/>
            <wp:docPr id="955236577"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236577" name="Picture 955236577"/>
                    <pic:cNvPicPr/>
                  </pic:nvPicPr>
                  <pic:blipFill rotWithShape="1">
                    <a:blip r:embed="rId13" cstate="print">
                      <a:extLst>
                        <a:ext uri="{28A0092B-C50C-407E-A947-70E740481C1C}">
                          <a14:useLocalDpi xmlns:a14="http://schemas.microsoft.com/office/drawing/2010/main" val="0"/>
                        </a:ext>
                      </a:extLst>
                    </a:blip>
                    <a:srcRect l="1258" r="1561" b="1919"/>
                    <a:stretch>
                      <a:fillRect/>
                    </a:stretch>
                  </pic:blipFill>
                  <pic:spPr bwMode="auto">
                    <a:xfrm>
                      <a:off x="0" y="0"/>
                      <a:ext cx="2705532" cy="3776087"/>
                    </a:xfrm>
                    <a:prstGeom prst="rect">
                      <a:avLst/>
                    </a:prstGeom>
                    <a:ln>
                      <a:noFill/>
                    </a:ln>
                    <a:extLst>
                      <a:ext uri="{53640926-AAD7-44D8-BBD7-CCE9431645EC}">
                        <a14:shadowObscured xmlns:a14="http://schemas.microsoft.com/office/drawing/2010/main"/>
                      </a:ext>
                    </a:extLst>
                  </pic:spPr>
                </pic:pic>
              </a:graphicData>
            </a:graphic>
          </wp:inline>
        </w:drawing>
      </w:r>
    </w:p>
    <w:p w14:paraId="5CE793BA" w14:textId="6743E3ED" w:rsidR="00D124D8" w:rsidRPr="00D124D8" w:rsidRDefault="00D24FD8" w:rsidP="00D124D8">
      <w:pPr>
        <w:spacing w:line="240" w:lineRule="auto"/>
        <w:jc w:val="center"/>
        <w:rPr>
          <w:i/>
          <w:iCs/>
          <w:lang w:val="id-ID"/>
        </w:rPr>
      </w:pPr>
      <w:r w:rsidRPr="000A771C">
        <w:rPr>
          <w:b/>
        </w:rPr>
        <w:t xml:space="preserve">Gambar </w:t>
      </w:r>
      <w:r>
        <w:rPr>
          <w:b/>
        </w:rPr>
        <w:t>1</w:t>
      </w:r>
      <w:r w:rsidRPr="000A771C">
        <w:rPr>
          <w:b/>
          <w:lang w:val="id-ID"/>
        </w:rPr>
        <w:t>.</w:t>
      </w:r>
      <w:r w:rsidRPr="000A771C">
        <w:rPr>
          <w:b/>
        </w:rPr>
        <w:t xml:space="preserve"> </w:t>
      </w:r>
      <w:r w:rsidR="00D124D8" w:rsidRPr="00D124D8">
        <w:rPr>
          <w:b/>
          <w:i/>
          <w:iCs/>
        </w:rPr>
        <w:t>Ethical Clearance</w:t>
      </w:r>
      <w:r w:rsidRPr="00D124D8">
        <w:rPr>
          <w:b/>
          <w:i/>
          <w:iCs/>
        </w:rPr>
        <w:t xml:space="preserve"> </w:t>
      </w:r>
    </w:p>
    <w:p w14:paraId="3CD32610" w14:textId="77777777" w:rsidR="00D124D8" w:rsidRDefault="00D124D8">
      <w:pPr>
        <w:widowControl/>
        <w:autoSpaceDE/>
        <w:autoSpaceDN/>
        <w:adjustRightInd/>
        <w:spacing w:after="200" w:line="276" w:lineRule="auto"/>
        <w:jc w:val="left"/>
        <w:textAlignment w:val="auto"/>
        <w:rPr>
          <w:b/>
          <w:kern w:val="28"/>
          <w:szCs w:val="24"/>
          <w:lang w:val="id-ID"/>
        </w:rPr>
      </w:pPr>
      <w:r>
        <w:rPr>
          <w:lang w:val="id-ID"/>
        </w:rPr>
        <w:br w:type="page"/>
      </w:r>
    </w:p>
    <w:p w14:paraId="2AED4F38" w14:textId="77777777" w:rsidR="00D24FD8" w:rsidRDefault="00D24FD8" w:rsidP="00D24FD8"/>
    <w:p w14:paraId="6D04DB00" w14:textId="77777777" w:rsidR="00AB66D3" w:rsidRDefault="00AB66D3"/>
    <w:sectPr w:rsidR="00AB66D3" w:rsidSect="00D124D8">
      <w:endnotePr>
        <w:numFmt w:val="decimal"/>
      </w:endnotePr>
      <w:type w:val="continuous"/>
      <w:pgSz w:w="11907" w:h="16840" w:code="9"/>
      <w:pgMar w:top="1418" w:right="1134" w:bottom="1418" w:left="1418" w:header="851" w:footer="851" w:gutter="0"/>
      <w:cols w:num="2" w:space="567"/>
      <w:noEndnote/>
      <w:docGrid w:linePitch="271"/>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user" w:date="2026-03-08T09:33:00Z" w:initials="u">
    <w:p w14:paraId="3E36FBA5" w14:textId="61D4DF20" w:rsidR="00235C52" w:rsidRDefault="00235C52">
      <w:pPr>
        <w:pStyle w:val="CommentText"/>
      </w:pPr>
      <w:r>
        <w:rPr>
          <w:rStyle w:val="CommentReference"/>
        </w:rPr>
        <w:annotationRef/>
      </w:r>
      <w:r>
        <w:t>italic</w:t>
      </w:r>
    </w:p>
  </w:comment>
  <w:comment w:id="1" w:author="user" w:date="2026-03-08T09:32:00Z" w:initials="u">
    <w:p w14:paraId="069B0CBD" w14:textId="16044E27" w:rsidR="00235C52" w:rsidRDefault="00235C52">
      <w:pPr>
        <w:pStyle w:val="CommentText"/>
      </w:pPr>
      <w:r>
        <w:rPr>
          <w:rStyle w:val="CommentReference"/>
        </w:rPr>
        <w:annotationRef/>
      </w:r>
      <w:r>
        <w:t>Ditulis italic</w:t>
      </w:r>
    </w:p>
  </w:comment>
  <w:comment w:id="2" w:author="user" w:date="2026-03-08T09:32:00Z" w:initials="u">
    <w:p w14:paraId="542EF415" w14:textId="2856BD9C" w:rsidR="00235C52" w:rsidRDefault="00235C52">
      <w:pPr>
        <w:pStyle w:val="CommentText"/>
      </w:pPr>
      <w:r>
        <w:rPr>
          <w:rStyle w:val="CommentReference"/>
        </w:rPr>
        <w:annotationRef/>
      </w:r>
    </w:p>
  </w:comment>
  <w:comment w:id="3" w:author="user" w:date="2026-03-08T09:38:00Z" w:initials="u">
    <w:p w14:paraId="58B140DD" w14:textId="1D71CA37" w:rsidR="00235C52" w:rsidRDefault="00235C52">
      <w:pPr>
        <w:pStyle w:val="CommentText"/>
      </w:pPr>
      <w:r>
        <w:rPr>
          <w:rStyle w:val="CommentReference"/>
        </w:rPr>
        <w:annotationRef/>
      </w:r>
      <w:r>
        <w:t>Update dengan data/prevalensi insidensi tahun terbaru</w:t>
      </w:r>
    </w:p>
  </w:comment>
  <w:comment w:id="4" w:author="user" w:date="2026-03-08T09:34:00Z" w:initials="u">
    <w:p w14:paraId="7417F206" w14:textId="47A540D3" w:rsidR="00235C52" w:rsidRDefault="00235C52" w:rsidP="00235C52">
      <w:pPr>
        <w:pStyle w:val="CommentText"/>
        <w:jc w:val="left"/>
      </w:pPr>
      <w:r>
        <w:rPr>
          <w:rStyle w:val="CommentReference"/>
        </w:rPr>
        <w:annotationRef/>
      </w:r>
      <w:r>
        <w:rPr>
          <w:rStyle w:val="CommentReference"/>
        </w:rPr>
        <w:annotationRef/>
      </w:r>
      <w:r>
        <w:t>kalimat pendahuluan jangan terlalu panjang, disingkat lebih ringkas dan padat</w:t>
      </w:r>
    </w:p>
    <w:p w14:paraId="6D829B45" w14:textId="468B9675" w:rsidR="00235C52" w:rsidRDefault="00235C52">
      <w:pPr>
        <w:pStyle w:val="CommentText"/>
      </w:pPr>
    </w:p>
  </w:comment>
  <w:comment w:id="5" w:author="user" w:date="2026-03-08T09:34:00Z" w:initials="u">
    <w:p w14:paraId="29B4C11C" w14:textId="79A92AF2" w:rsidR="00235C52" w:rsidRDefault="00235C52">
      <w:pPr>
        <w:pStyle w:val="CommentText"/>
      </w:pPr>
      <w:r>
        <w:rPr>
          <w:rStyle w:val="CommentReference"/>
        </w:rPr>
        <w:annotationRef/>
      </w:r>
      <w:r>
        <w:t xml:space="preserve">penulisan sitasi/kutipan tak </w:t>
      </w:r>
      <w:proofErr w:type="gramStart"/>
      <w:r>
        <w:t>langsung  yang</w:t>
      </w:r>
      <w:proofErr w:type="gramEnd"/>
      <w:r>
        <w:t xml:space="preserve"> benar :Rosnarita et al. (2025)</w:t>
      </w:r>
    </w:p>
  </w:comment>
  <w:comment w:id="6" w:author="user" w:date="2026-03-08T09:35:00Z" w:initials="u">
    <w:p w14:paraId="69E1909B" w14:textId="13522C6B" w:rsidR="00235C52" w:rsidRDefault="00235C52">
      <w:pPr>
        <w:pStyle w:val="CommentText"/>
      </w:pPr>
      <w:r>
        <w:rPr>
          <w:rStyle w:val="CommentReference"/>
        </w:rPr>
        <w:annotationRef/>
      </w:r>
      <w:r>
        <w:t>masih salah dalam menuliskan sitasi ditenah-tengah kalimat, harusnya Nama belakang penulis et al. (tahun penulis)</w:t>
      </w:r>
    </w:p>
  </w:comment>
  <w:comment w:id="7" w:author="user" w:date="2026-03-08T09:39:00Z" w:initials="u">
    <w:p w14:paraId="211DEAD3" w14:textId="2C4D2725" w:rsidR="0087387F" w:rsidRDefault="0087387F">
      <w:pPr>
        <w:pStyle w:val="CommentText"/>
      </w:pPr>
      <w:r>
        <w:rPr>
          <w:rStyle w:val="CommentReference"/>
        </w:rPr>
        <w:annotationRef/>
      </w:r>
      <w:r>
        <w:t>istilah asing ditulis miring/italic</w:t>
      </w:r>
    </w:p>
  </w:comment>
  <w:comment w:id="8" w:author="user" w:date="2026-03-08T09:37:00Z" w:initials="u">
    <w:p w14:paraId="527EAE61" w14:textId="7901E4BE" w:rsidR="00235C52" w:rsidRDefault="00235C52">
      <w:pPr>
        <w:pStyle w:val="CommentText"/>
      </w:pPr>
      <w:r>
        <w:rPr>
          <w:rStyle w:val="CommentReference"/>
        </w:rPr>
        <w:annotationRef/>
      </w:r>
      <w:r>
        <w:t>tidak perlu nama penulis di sitasi dimiringkan</w:t>
      </w:r>
    </w:p>
  </w:comment>
  <w:comment w:id="9" w:author="user" w:date="2026-03-08T09:40:00Z" w:initials="u">
    <w:p w14:paraId="26E3905B" w14:textId="7B394586" w:rsidR="0087387F" w:rsidRDefault="0087387F">
      <w:pPr>
        <w:pStyle w:val="CommentText"/>
      </w:pPr>
      <w:r>
        <w:rPr>
          <w:rStyle w:val="CommentReference"/>
        </w:rPr>
        <w:annotationRef/>
      </w:r>
      <w:r>
        <w:t>tambahkan keterangn bhwa penelitian ini telah melewati kaji etik, dari…. dengan nomor surat….</w:t>
      </w:r>
    </w:p>
  </w:comment>
  <w:comment w:id="10" w:author="user" w:date="2026-03-08T09:42:00Z" w:initials="u">
    <w:p w14:paraId="5F2D2D26" w14:textId="3239336D" w:rsidR="0087387F" w:rsidRDefault="0087387F">
      <w:pPr>
        <w:pStyle w:val="CommentText"/>
      </w:pPr>
      <w:r>
        <w:rPr>
          <w:rStyle w:val="CommentReference"/>
        </w:rPr>
        <w:annotationRef/>
      </w:r>
      <w:r>
        <w:t>Tabel masih belum sesuai template jurnal, table harus dalam posisi center, dan komponen dalam table font size 10</w:t>
      </w:r>
    </w:p>
  </w:comment>
  <w:comment w:id="11" w:author="user" w:date="2026-03-08T09:51:00Z" w:initials="u">
    <w:p w14:paraId="41ED0792" w14:textId="5088C7AD" w:rsidR="00040519" w:rsidRDefault="00040519">
      <w:pPr>
        <w:pStyle w:val="CommentText"/>
      </w:pPr>
      <w:r>
        <w:rPr>
          <w:rStyle w:val="CommentReference"/>
        </w:rPr>
        <w:annotationRef/>
      </w:r>
      <w:r>
        <w:t>Penulisan sitasi perbaiki yg benar</w:t>
      </w:r>
    </w:p>
  </w:comment>
  <w:comment w:id="12" w:author="user" w:date="2026-03-08T09:50:00Z" w:initials="u">
    <w:p w14:paraId="310E37F1" w14:textId="763DF500" w:rsidR="00040519" w:rsidRDefault="00040519">
      <w:pPr>
        <w:pStyle w:val="CommentText"/>
      </w:pPr>
      <w:r>
        <w:rPr>
          <w:rStyle w:val="CommentReference"/>
        </w:rPr>
        <w:annotationRef/>
      </w:r>
      <w:r>
        <w:t>Update referensi/literatur maksimal 10 tahun terakhir</w:t>
      </w:r>
    </w:p>
  </w:comment>
  <w:comment w:id="15" w:author="user" w:date="2026-03-08T10:16:00Z" w:initials="u">
    <w:p w14:paraId="68A23109" w14:textId="57A1E127" w:rsidR="004851BA" w:rsidRDefault="004851BA">
      <w:pPr>
        <w:pStyle w:val="CommentText"/>
      </w:pPr>
      <w:r>
        <w:rPr>
          <w:rStyle w:val="CommentReference"/>
        </w:rPr>
        <w:annotationRef/>
      </w:r>
      <w:r>
        <w:t>Seragamkan penulisan nama jurnal pada daftar pustaka yang dimiringkan, judul artikel penelitian tidak perlu miring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E36FBA5" w15:done="0"/>
  <w15:commentEx w15:paraId="069B0CBD" w15:done="0"/>
  <w15:commentEx w15:paraId="542EF415" w15:paraIdParent="069B0CBD" w15:done="0"/>
  <w15:commentEx w15:paraId="58B140DD" w15:done="0"/>
  <w15:commentEx w15:paraId="6D829B45" w15:done="0"/>
  <w15:commentEx w15:paraId="29B4C11C" w15:done="0"/>
  <w15:commentEx w15:paraId="69E1909B" w15:done="0"/>
  <w15:commentEx w15:paraId="211DEAD3" w15:done="0"/>
  <w15:commentEx w15:paraId="527EAE61" w15:done="0"/>
  <w15:commentEx w15:paraId="26E3905B" w15:done="0"/>
  <w15:commentEx w15:paraId="5F2D2D26" w15:done="0"/>
  <w15:commentEx w15:paraId="41ED0792" w15:done="0"/>
  <w15:commentEx w15:paraId="310E37F1" w15:done="0"/>
  <w15:commentEx w15:paraId="68A23109"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C9D375" w14:textId="77777777" w:rsidR="00F42E97" w:rsidRDefault="00F42E97" w:rsidP="00D24FD8">
      <w:pPr>
        <w:spacing w:line="240" w:lineRule="auto"/>
      </w:pPr>
      <w:r>
        <w:separator/>
      </w:r>
    </w:p>
  </w:endnote>
  <w:endnote w:type="continuationSeparator" w:id="0">
    <w:p w14:paraId="51EA0FC0" w14:textId="77777777" w:rsidR="00F42E97" w:rsidRDefault="00F42E97" w:rsidP="00D24F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Che">
    <w:altName w:val="Malgun Gothic Semilight"/>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A0C54" w14:textId="77777777" w:rsidR="00AB66D3" w:rsidRDefault="00075700" w:rsidP="007A073F">
    <w:pPr>
      <w:pStyle w:val="Footer"/>
      <w:jc w:val="center"/>
    </w:pPr>
    <w:r w:rsidRPr="007A073F">
      <w:rPr>
        <w:rFonts w:ascii="Century Schoolbook" w:hAnsi="Century Schoolbook"/>
      </w:rPr>
      <w:t>Copyright © 2012, BCREC, ISSN 1978-2993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7D238A" w14:textId="77777777" w:rsidR="00F42E97" w:rsidRDefault="00F42E97" w:rsidP="00D24FD8">
      <w:pPr>
        <w:spacing w:line="240" w:lineRule="auto"/>
      </w:pPr>
      <w:r>
        <w:separator/>
      </w:r>
    </w:p>
  </w:footnote>
  <w:footnote w:type="continuationSeparator" w:id="0">
    <w:p w14:paraId="163D2DC4" w14:textId="77777777" w:rsidR="00F42E97" w:rsidRDefault="00F42E97" w:rsidP="00D24F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CCF115" w14:textId="77777777" w:rsidR="00AB66D3" w:rsidRPr="0065515B" w:rsidRDefault="00075700" w:rsidP="0065515B">
    <w:pPr>
      <w:pStyle w:val="Title"/>
    </w:pPr>
    <w:r w:rsidRPr="0065515B">
      <w:t xml:space="preserve">  Petunjuk Penulisan Manuskrip untuk Jurnal </w:t>
    </w:r>
    <w:r w:rsidR="00D24FD8">
      <w:t>Farmasi Higea</w:t>
    </w:r>
    <w:r w:rsidRPr="0065515B">
      <w:t xml:space="preserve"> </w:t>
    </w:r>
  </w:p>
  <w:p w14:paraId="4C4996F5" w14:textId="77777777" w:rsidR="00AB66D3" w:rsidRPr="0065515B" w:rsidRDefault="00AB66D3" w:rsidP="007A073F">
    <w:pPr>
      <w:pStyle w:val="Header"/>
      <w:jc w:val="center"/>
      <w:rPr>
        <w:b/>
        <w:i/>
        <w:iCs/>
        <w:sz w:val="18"/>
        <w:szCs w:val="18"/>
        <w:lang w:val="id-ID"/>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5257C8" w14:textId="77777777" w:rsidR="00AB66D3" w:rsidRDefault="00AB66D3" w:rsidP="007A073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B308A3"/>
    <w:multiLevelType w:val="hybridMultilevel"/>
    <w:tmpl w:val="1B0293E4"/>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4AC64A16"/>
    <w:multiLevelType w:val="hybridMultilevel"/>
    <w:tmpl w:val="42C4D5F2"/>
    <w:lvl w:ilvl="0" w:tplc="25CC8476">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autoHyphenation/>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4FD8"/>
    <w:rsid w:val="00035D1F"/>
    <w:rsid w:val="00040519"/>
    <w:rsid w:val="00075700"/>
    <w:rsid w:val="000A3957"/>
    <w:rsid w:val="000E02AF"/>
    <w:rsid w:val="001D711C"/>
    <w:rsid w:val="002115B8"/>
    <w:rsid w:val="00235C52"/>
    <w:rsid w:val="002C1AFD"/>
    <w:rsid w:val="002C49C2"/>
    <w:rsid w:val="003217E8"/>
    <w:rsid w:val="00372688"/>
    <w:rsid w:val="003D41E9"/>
    <w:rsid w:val="004851BA"/>
    <w:rsid w:val="004C6810"/>
    <w:rsid w:val="00552FC4"/>
    <w:rsid w:val="005B6C44"/>
    <w:rsid w:val="00601F4A"/>
    <w:rsid w:val="006F5884"/>
    <w:rsid w:val="00706FCF"/>
    <w:rsid w:val="007A5ECB"/>
    <w:rsid w:val="00820994"/>
    <w:rsid w:val="0087387F"/>
    <w:rsid w:val="009132E5"/>
    <w:rsid w:val="009A691F"/>
    <w:rsid w:val="009D1F2B"/>
    <w:rsid w:val="00A414EB"/>
    <w:rsid w:val="00AB66D3"/>
    <w:rsid w:val="00AC443F"/>
    <w:rsid w:val="00B129FF"/>
    <w:rsid w:val="00C05058"/>
    <w:rsid w:val="00C952CB"/>
    <w:rsid w:val="00D124D8"/>
    <w:rsid w:val="00D24FD8"/>
    <w:rsid w:val="00D84CC9"/>
    <w:rsid w:val="00D90DF5"/>
    <w:rsid w:val="00DB08B9"/>
    <w:rsid w:val="00E22666"/>
    <w:rsid w:val="00F42E97"/>
    <w:rsid w:val="00F51058"/>
    <w:rsid w:val="00F51C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A357CB"/>
  <w15:docId w15:val="{8A0B43AC-3BBD-4083-B4F7-C1DBBFF4B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D24FD8"/>
    <w:pPr>
      <w:widowControl w:val="0"/>
      <w:autoSpaceDE w:val="0"/>
      <w:autoSpaceDN w:val="0"/>
      <w:adjustRightInd w:val="0"/>
      <w:spacing w:after="0" w:line="360" w:lineRule="auto"/>
      <w:jc w:val="both"/>
      <w:textAlignment w:val="baseline"/>
    </w:pPr>
    <w:rPr>
      <w:rFonts w:ascii="Times New Roman" w:eastAsia="BatangChe" w:hAnsi="Times New Roman" w:cs="Times New Roman"/>
      <w:kern w:val="2"/>
      <w:sz w:val="24"/>
      <w:szCs w:val="20"/>
      <w:lang w:eastAsia="ko-KR"/>
    </w:rPr>
  </w:style>
  <w:style w:type="paragraph" w:styleId="Heading1">
    <w:name w:val="heading 1"/>
    <w:basedOn w:val="Normal"/>
    <w:next w:val="Normal"/>
    <w:link w:val="Heading1Char"/>
    <w:autoRedefine/>
    <w:qFormat/>
    <w:rsid w:val="00D24FD8"/>
    <w:pPr>
      <w:keepNext/>
      <w:spacing w:line="240" w:lineRule="auto"/>
      <w:jc w:val="center"/>
      <w:outlineLvl w:val="0"/>
    </w:pPr>
    <w:rPr>
      <w:b/>
      <w:kern w:val="28"/>
      <w:szCs w:val="24"/>
    </w:rPr>
  </w:style>
  <w:style w:type="paragraph" w:styleId="Heading2">
    <w:name w:val="heading 2"/>
    <w:basedOn w:val="Normal"/>
    <w:next w:val="Normal"/>
    <w:link w:val="Heading2Char"/>
    <w:autoRedefine/>
    <w:qFormat/>
    <w:rsid w:val="009132E5"/>
    <w:pPr>
      <w:keepNext/>
      <w:spacing w:line="240" w:lineRule="auto"/>
      <w:ind w:left="426" w:hanging="426"/>
      <w:jc w:val="center"/>
      <w:outlineLvl w:val="1"/>
    </w:pPr>
    <w:rPr>
      <w:b/>
      <w:kern w:val="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24FD8"/>
    <w:rPr>
      <w:rFonts w:ascii="Times New Roman" w:eastAsia="BatangChe" w:hAnsi="Times New Roman" w:cs="Times New Roman"/>
      <w:b/>
      <w:kern w:val="28"/>
      <w:sz w:val="24"/>
      <w:szCs w:val="24"/>
      <w:lang w:eastAsia="ko-KR"/>
    </w:rPr>
  </w:style>
  <w:style w:type="character" w:customStyle="1" w:styleId="Heading2Char">
    <w:name w:val="Heading 2 Char"/>
    <w:basedOn w:val="DefaultParagraphFont"/>
    <w:link w:val="Heading2"/>
    <w:rsid w:val="009132E5"/>
    <w:rPr>
      <w:rFonts w:ascii="Times New Roman" w:eastAsia="BatangChe" w:hAnsi="Times New Roman" w:cs="Times New Roman"/>
      <w:b/>
      <w:sz w:val="24"/>
      <w:szCs w:val="20"/>
      <w:lang w:val="x-none" w:eastAsia="ko-KR"/>
    </w:rPr>
  </w:style>
  <w:style w:type="paragraph" w:styleId="Title">
    <w:name w:val="Title"/>
    <w:basedOn w:val="Normal"/>
    <w:link w:val="TitleChar"/>
    <w:autoRedefine/>
    <w:qFormat/>
    <w:rsid w:val="00D24FD8"/>
    <w:pPr>
      <w:spacing w:line="240" w:lineRule="auto"/>
      <w:jc w:val="left"/>
    </w:pPr>
    <w:rPr>
      <w:b/>
      <w:i/>
      <w:kern w:val="28"/>
      <w:sz w:val="20"/>
    </w:rPr>
  </w:style>
  <w:style w:type="character" w:customStyle="1" w:styleId="TitleChar">
    <w:name w:val="Title Char"/>
    <w:basedOn w:val="DefaultParagraphFont"/>
    <w:link w:val="Title"/>
    <w:rsid w:val="00D24FD8"/>
    <w:rPr>
      <w:rFonts w:ascii="Times New Roman" w:eastAsia="BatangChe" w:hAnsi="Times New Roman" w:cs="Times New Roman"/>
      <w:b/>
      <w:i/>
      <w:kern w:val="28"/>
      <w:sz w:val="20"/>
      <w:szCs w:val="20"/>
      <w:lang w:eastAsia="ko-KR"/>
    </w:rPr>
  </w:style>
  <w:style w:type="paragraph" w:customStyle="1" w:styleId="Authors">
    <w:name w:val="Authors"/>
    <w:basedOn w:val="Normal"/>
    <w:autoRedefine/>
    <w:rsid w:val="00D90DF5"/>
    <w:pPr>
      <w:spacing w:line="240" w:lineRule="auto"/>
      <w:jc w:val="center"/>
    </w:pPr>
    <w:rPr>
      <w:b/>
      <w:i/>
      <w:kern w:val="0"/>
      <w:sz w:val="20"/>
    </w:rPr>
  </w:style>
  <w:style w:type="paragraph" w:customStyle="1" w:styleId="Addresses">
    <w:name w:val="Addresses"/>
    <w:basedOn w:val="Normal"/>
    <w:rsid w:val="00D24FD8"/>
    <w:pPr>
      <w:jc w:val="center"/>
    </w:pPr>
    <w:rPr>
      <w:i/>
      <w:kern w:val="0"/>
    </w:rPr>
  </w:style>
  <w:style w:type="paragraph" w:customStyle="1" w:styleId="Body">
    <w:name w:val="Body"/>
    <w:basedOn w:val="Normal"/>
    <w:rsid w:val="00D24FD8"/>
    <w:pPr>
      <w:ind w:firstLine="340"/>
    </w:pPr>
    <w:rPr>
      <w:kern w:val="0"/>
    </w:rPr>
  </w:style>
  <w:style w:type="character" w:styleId="Hyperlink">
    <w:name w:val="Hyperlink"/>
    <w:rsid w:val="00D24FD8"/>
    <w:rPr>
      <w:color w:val="0000FF"/>
      <w:u w:val="single"/>
    </w:rPr>
  </w:style>
  <w:style w:type="paragraph" w:styleId="Header">
    <w:name w:val="header"/>
    <w:basedOn w:val="Normal"/>
    <w:link w:val="HeaderChar"/>
    <w:rsid w:val="00D24FD8"/>
    <w:pPr>
      <w:tabs>
        <w:tab w:val="center" w:pos="4320"/>
        <w:tab w:val="right" w:pos="8640"/>
      </w:tabs>
    </w:pPr>
  </w:style>
  <w:style w:type="character" w:customStyle="1" w:styleId="HeaderChar">
    <w:name w:val="Header Char"/>
    <w:basedOn w:val="DefaultParagraphFont"/>
    <w:link w:val="Header"/>
    <w:rsid w:val="00D24FD8"/>
    <w:rPr>
      <w:rFonts w:ascii="Times New Roman" w:eastAsia="BatangChe" w:hAnsi="Times New Roman" w:cs="Times New Roman"/>
      <w:kern w:val="2"/>
      <w:sz w:val="24"/>
      <w:szCs w:val="20"/>
      <w:lang w:eastAsia="ko-KR"/>
    </w:rPr>
  </w:style>
  <w:style w:type="paragraph" w:styleId="Footer">
    <w:name w:val="footer"/>
    <w:basedOn w:val="Normal"/>
    <w:link w:val="FooterChar"/>
    <w:uiPriority w:val="99"/>
    <w:rsid w:val="00D24FD8"/>
    <w:pPr>
      <w:tabs>
        <w:tab w:val="center" w:pos="4320"/>
        <w:tab w:val="right" w:pos="8640"/>
      </w:tabs>
    </w:pPr>
    <w:rPr>
      <w:sz w:val="20"/>
    </w:rPr>
  </w:style>
  <w:style w:type="character" w:customStyle="1" w:styleId="FooterChar">
    <w:name w:val="Footer Char"/>
    <w:basedOn w:val="DefaultParagraphFont"/>
    <w:link w:val="Footer"/>
    <w:uiPriority w:val="99"/>
    <w:rsid w:val="00D24FD8"/>
    <w:rPr>
      <w:rFonts w:ascii="Times New Roman" w:eastAsia="BatangChe" w:hAnsi="Times New Roman" w:cs="Times New Roman"/>
      <w:kern w:val="2"/>
      <w:sz w:val="20"/>
      <w:szCs w:val="20"/>
      <w:lang w:eastAsia="ko-KR"/>
    </w:rPr>
  </w:style>
  <w:style w:type="character" w:customStyle="1" w:styleId="hps">
    <w:name w:val="hps"/>
    <w:basedOn w:val="DefaultParagraphFont"/>
    <w:rsid w:val="00D24FD8"/>
  </w:style>
  <w:style w:type="paragraph" w:customStyle="1" w:styleId="Default">
    <w:name w:val="Default"/>
    <w:rsid w:val="00D24FD8"/>
    <w:pPr>
      <w:autoSpaceDE w:val="0"/>
      <w:autoSpaceDN w:val="0"/>
      <w:adjustRightInd w:val="0"/>
      <w:spacing w:after="0" w:line="240" w:lineRule="auto"/>
    </w:pPr>
    <w:rPr>
      <w:rFonts w:ascii="Times New Roman" w:eastAsia="Calibri" w:hAnsi="Times New Roman" w:cs="Times New Roman"/>
      <w:color w:val="000000"/>
      <w:sz w:val="24"/>
      <w:szCs w:val="24"/>
      <w:lang w:val="id-ID" w:eastAsia="id-ID"/>
    </w:rPr>
  </w:style>
  <w:style w:type="paragraph" w:styleId="BalloonText">
    <w:name w:val="Balloon Text"/>
    <w:basedOn w:val="Normal"/>
    <w:link w:val="BalloonTextChar"/>
    <w:uiPriority w:val="99"/>
    <w:semiHidden/>
    <w:unhideWhenUsed/>
    <w:rsid w:val="00D24FD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4FD8"/>
    <w:rPr>
      <w:rFonts w:ascii="Tahoma" w:eastAsia="BatangChe" w:hAnsi="Tahoma" w:cs="Tahoma"/>
      <w:kern w:val="2"/>
      <w:sz w:val="16"/>
      <w:szCs w:val="16"/>
      <w:lang w:eastAsia="ko-KR"/>
    </w:rPr>
  </w:style>
  <w:style w:type="table" w:customStyle="1" w:styleId="PlainTable21">
    <w:name w:val="Plain Table 21"/>
    <w:basedOn w:val="TableNormal"/>
    <w:next w:val="PlainTable2"/>
    <w:uiPriority w:val="42"/>
    <w:rsid w:val="00C952CB"/>
    <w:pPr>
      <w:spacing w:after="0" w:line="240" w:lineRule="auto"/>
    </w:pPr>
    <w:rPr>
      <w:kern w:val="2"/>
      <w:sz w:val="24"/>
      <w:szCs w:val="24"/>
      <w:lang w:val="en-GB"/>
      <w14:ligatures w14:val="standardContextu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2">
    <w:name w:val="Plain Table 2"/>
    <w:basedOn w:val="TableNormal"/>
    <w:uiPriority w:val="42"/>
    <w:rsid w:val="00C952C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22">
    <w:name w:val="Plain Table 22"/>
    <w:basedOn w:val="TableNormal"/>
    <w:next w:val="PlainTable2"/>
    <w:uiPriority w:val="42"/>
    <w:rsid w:val="002C49C2"/>
    <w:pPr>
      <w:spacing w:after="0" w:line="240" w:lineRule="auto"/>
    </w:pPr>
    <w:rPr>
      <w:kern w:val="2"/>
      <w:sz w:val="24"/>
      <w:szCs w:val="24"/>
      <w:lang w:val="en-GB"/>
      <w14:ligatures w14:val="standardContextu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leGrid">
    <w:name w:val="Table Grid"/>
    <w:basedOn w:val="TableNormal"/>
    <w:uiPriority w:val="59"/>
    <w:rsid w:val="002C49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3">
    <w:name w:val="Plain Table 23"/>
    <w:basedOn w:val="TableNormal"/>
    <w:next w:val="PlainTable2"/>
    <w:uiPriority w:val="42"/>
    <w:rsid w:val="009D1F2B"/>
    <w:pPr>
      <w:spacing w:after="0" w:line="240" w:lineRule="auto"/>
    </w:pPr>
    <w:rPr>
      <w:kern w:val="2"/>
      <w:sz w:val="24"/>
      <w:szCs w:val="24"/>
      <w:lang w:val="en-GB"/>
      <w14:ligatures w14:val="standardContextual"/>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styleId="CommentReference">
    <w:name w:val="annotation reference"/>
    <w:basedOn w:val="DefaultParagraphFont"/>
    <w:uiPriority w:val="99"/>
    <w:semiHidden/>
    <w:unhideWhenUsed/>
    <w:rsid w:val="00235C52"/>
    <w:rPr>
      <w:sz w:val="16"/>
      <w:szCs w:val="16"/>
    </w:rPr>
  </w:style>
  <w:style w:type="paragraph" w:styleId="CommentText">
    <w:name w:val="annotation text"/>
    <w:basedOn w:val="Normal"/>
    <w:link w:val="CommentTextChar"/>
    <w:uiPriority w:val="99"/>
    <w:unhideWhenUsed/>
    <w:rsid w:val="00235C52"/>
    <w:pPr>
      <w:spacing w:line="240" w:lineRule="auto"/>
    </w:pPr>
    <w:rPr>
      <w:sz w:val="20"/>
    </w:rPr>
  </w:style>
  <w:style w:type="character" w:customStyle="1" w:styleId="CommentTextChar">
    <w:name w:val="Comment Text Char"/>
    <w:basedOn w:val="DefaultParagraphFont"/>
    <w:link w:val="CommentText"/>
    <w:uiPriority w:val="99"/>
    <w:rsid w:val="00235C52"/>
    <w:rPr>
      <w:rFonts w:ascii="Times New Roman" w:eastAsia="BatangChe" w:hAnsi="Times New Roman" w:cs="Times New Roman"/>
      <w:kern w:val="2"/>
      <w:sz w:val="20"/>
      <w:szCs w:val="20"/>
      <w:lang w:eastAsia="ko-KR"/>
    </w:rPr>
  </w:style>
  <w:style w:type="paragraph" w:styleId="CommentSubject">
    <w:name w:val="annotation subject"/>
    <w:basedOn w:val="CommentText"/>
    <w:next w:val="CommentText"/>
    <w:link w:val="CommentSubjectChar"/>
    <w:uiPriority w:val="99"/>
    <w:semiHidden/>
    <w:unhideWhenUsed/>
    <w:rsid w:val="00235C52"/>
    <w:rPr>
      <w:b/>
      <w:bCs/>
    </w:rPr>
  </w:style>
  <w:style w:type="character" w:customStyle="1" w:styleId="CommentSubjectChar">
    <w:name w:val="Comment Subject Char"/>
    <w:basedOn w:val="CommentTextChar"/>
    <w:link w:val="CommentSubject"/>
    <w:uiPriority w:val="99"/>
    <w:semiHidden/>
    <w:rsid w:val="00235C52"/>
    <w:rPr>
      <w:rFonts w:ascii="Times New Roman" w:eastAsia="BatangChe" w:hAnsi="Times New Roman" w:cs="Times New Roman"/>
      <w:b/>
      <w:bCs/>
      <w:kern w:val="2"/>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60BB41-BB2E-4E2D-B25E-87165CEF7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Pages>
  <Words>9952</Words>
  <Characters>56728</Characters>
  <Application>Microsoft Office Word</Application>
  <DocSecurity>0</DocSecurity>
  <Lines>472</Lines>
  <Paragraphs>133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66547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Widie K, Apt</dc:creator>
  <cp:lastModifiedBy>user</cp:lastModifiedBy>
  <cp:revision>13</cp:revision>
  <cp:lastPrinted>2026-02-21T08:41:00Z</cp:lastPrinted>
  <dcterms:created xsi:type="dcterms:W3CDTF">2018-05-23T06:43:00Z</dcterms:created>
  <dcterms:modified xsi:type="dcterms:W3CDTF">2026-03-08T03:21:00Z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6th/7th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12th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4th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9th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66e7f17a-b5c8-3830-9c1e-b9d8638b7f49</vt:lpwstr>
  </property>
  <property fmtid="{D5CDD505-2E9C-101B-9397-08002B2CF9AE}" pid="24" name="Mendeley Citation Style_1">
    <vt:lpwstr>http://www.zotero.org/styles/apa</vt:lpwstr>
  </property>
</Properties>
</file>